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599C1" w14:textId="6726C2DC" w:rsidR="00FB02BF" w:rsidRPr="001F3967" w:rsidRDefault="006C6087" w:rsidP="00A27EC4">
      <w:pPr>
        <w:pStyle w:val="Abstract"/>
        <w:rPr>
          <w:iCs/>
          <w:sz w:val="20"/>
          <w:szCs w:val="20"/>
        </w:rPr>
      </w:pPr>
      <w:r w:rsidRPr="001F3967">
        <w:rPr>
          <w:sz w:val="20"/>
          <w:szCs w:val="20"/>
        </w:rPr>
        <w:t xml:space="preserve">  </w:t>
      </w:r>
      <w:r w:rsidR="00C81CC2" w:rsidRPr="001F3967">
        <w:rPr>
          <w:sz w:val="20"/>
          <w:szCs w:val="20"/>
        </w:rPr>
        <w:t xml:space="preserve">BALANCING SOCIAL MISSION AND MARKET PERFORMANCE: DETERMINANTS OF FINANCIAL RESILIENCE </w:t>
      </w:r>
      <w:r w:rsidR="007339E1" w:rsidRPr="001F3967">
        <w:rPr>
          <w:iCs/>
          <w:sz w:val="20"/>
          <w:szCs w:val="20"/>
          <w:lang w:val="en-US"/>
        </w:rPr>
        <w:t>AMONG SUBSIDIARIES IN PUBLIC SECTOR AGENCY</w:t>
      </w:r>
    </w:p>
    <w:p w14:paraId="09C1D8DD" w14:textId="77777777" w:rsidR="00701EB5" w:rsidRPr="001F3967" w:rsidRDefault="00701EB5" w:rsidP="00A27EC4">
      <w:pPr>
        <w:spacing w:after="0" w:line="240" w:lineRule="auto"/>
        <w:jc w:val="center"/>
        <w:rPr>
          <w:rFonts w:ascii="Times New Roman" w:eastAsia="Times New Roman" w:hAnsi="Times New Roman" w:cs="Times New Roman"/>
          <w:sz w:val="20"/>
          <w:szCs w:val="20"/>
          <w:lang w:val="en-MY"/>
        </w:rPr>
      </w:pPr>
    </w:p>
    <w:p w14:paraId="12E848E9" w14:textId="7DCF68F4" w:rsidR="00C405DD" w:rsidRPr="001F3967" w:rsidRDefault="00C405DD" w:rsidP="00C405DD">
      <w:pPr>
        <w:spacing w:after="0"/>
        <w:jc w:val="center"/>
        <w:rPr>
          <w:rFonts w:ascii="Times New Roman" w:eastAsia="Times New Roman" w:hAnsi="Times New Roman" w:cs="Times New Roman"/>
          <w:sz w:val="20"/>
          <w:szCs w:val="20"/>
        </w:rPr>
      </w:pPr>
      <w:r w:rsidRPr="001F3967">
        <w:rPr>
          <w:rFonts w:ascii="Times New Roman" w:eastAsia="Times New Roman" w:hAnsi="Times New Roman" w:cs="Times New Roman"/>
          <w:sz w:val="20"/>
          <w:szCs w:val="20"/>
          <w:vertAlign w:val="superscript"/>
        </w:rPr>
        <w:t>1</w:t>
      </w:r>
      <w:r w:rsidRPr="001F3967">
        <w:rPr>
          <w:rFonts w:ascii="Times New Roman" w:eastAsia="MS Mincho" w:hAnsi="Times New Roman" w:cs="Times New Roman"/>
          <w:sz w:val="20"/>
          <w:szCs w:val="20"/>
        </w:rPr>
        <w:t xml:space="preserve"> </w:t>
      </w:r>
      <w:r w:rsidR="001321A7" w:rsidRPr="001F3967">
        <w:rPr>
          <w:rFonts w:ascii="Times New Roman" w:eastAsia="Times New Roman" w:hAnsi="Times New Roman" w:cs="Times New Roman"/>
          <w:sz w:val="20"/>
          <w:szCs w:val="20"/>
        </w:rPr>
        <w:t>Assoc. Prof. Dr. Muhamad Nizam bin Jali</w:t>
      </w:r>
      <w:r w:rsidRPr="001F3967">
        <w:rPr>
          <w:rFonts w:ascii="Times New Roman" w:eastAsia="Times New Roman" w:hAnsi="Times New Roman" w:cs="Times New Roman"/>
          <w:sz w:val="20"/>
          <w:szCs w:val="20"/>
        </w:rPr>
        <w:t xml:space="preserve">, </w:t>
      </w:r>
      <w:r w:rsidRPr="001F3967">
        <w:rPr>
          <w:rFonts w:ascii="Times New Roman" w:eastAsia="Times New Roman" w:hAnsi="Times New Roman" w:cs="Times New Roman"/>
          <w:sz w:val="20"/>
          <w:szCs w:val="20"/>
          <w:vertAlign w:val="superscript"/>
        </w:rPr>
        <w:t xml:space="preserve">2 </w:t>
      </w:r>
      <w:r w:rsidR="001321A7" w:rsidRPr="001F3967">
        <w:rPr>
          <w:rFonts w:ascii="Times New Roman" w:eastAsia="MS Mincho" w:hAnsi="Times New Roman" w:cs="Times New Roman"/>
          <w:sz w:val="20"/>
          <w:szCs w:val="20"/>
        </w:rPr>
        <w:t>Amar Amir bin Omar</w:t>
      </w:r>
    </w:p>
    <w:p w14:paraId="7441C43F" w14:textId="77777777" w:rsidR="00C405DD" w:rsidRPr="001F3967" w:rsidRDefault="00C405DD" w:rsidP="00C405DD">
      <w:pPr>
        <w:spacing w:after="0"/>
        <w:jc w:val="center"/>
        <w:rPr>
          <w:rFonts w:ascii="Times New Roman" w:eastAsia="Times New Roman" w:hAnsi="Times New Roman" w:cs="Times New Roman"/>
          <w:sz w:val="20"/>
          <w:szCs w:val="20"/>
        </w:rPr>
      </w:pPr>
      <w:r w:rsidRPr="001F3967">
        <w:rPr>
          <w:rFonts w:ascii="Times New Roman" w:eastAsia="Times New Roman" w:hAnsi="Times New Roman" w:cs="Times New Roman"/>
          <w:sz w:val="20"/>
          <w:szCs w:val="20"/>
          <w:vertAlign w:val="superscript"/>
        </w:rPr>
        <w:t>3</w:t>
      </w:r>
      <w:r w:rsidRPr="001F3967">
        <w:rPr>
          <w:rFonts w:ascii="Times New Roman" w:eastAsia="Times New Roman" w:hAnsi="Times New Roman" w:cs="Times New Roman"/>
          <w:sz w:val="20"/>
          <w:szCs w:val="20"/>
        </w:rPr>
        <w:t xml:space="preserve">Dr. Siti Zuraidah Zainal    </w:t>
      </w:r>
      <w:r w:rsidRPr="001F3967">
        <w:rPr>
          <w:rFonts w:ascii="Times New Roman" w:eastAsia="Times New Roman" w:hAnsi="Times New Roman" w:cs="Times New Roman"/>
          <w:sz w:val="20"/>
          <w:szCs w:val="20"/>
          <w:vertAlign w:val="superscript"/>
        </w:rPr>
        <w:t>4</w:t>
      </w:r>
      <w:r w:rsidRPr="001F3967">
        <w:rPr>
          <w:rFonts w:ascii="Times New Roman" w:eastAsia="Times New Roman" w:hAnsi="Times New Roman" w:cs="Times New Roman"/>
          <w:sz w:val="20"/>
          <w:szCs w:val="20"/>
        </w:rPr>
        <w:t>Assoc. Prof. Dr. Adam Shukry Ali</w:t>
      </w:r>
    </w:p>
    <w:p w14:paraId="253398CD" w14:textId="4E9706AF" w:rsidR="002C0200" w:rsidRPr="001F3967" w:rsidRDefault="002C0200" w:rsidP="00A27EC4">
      <w:pPr>
        <w:spacing w:after="0" w:line="240" w:lineRule="auto"/>
        <w:jc w:val="center"/>
        <w:rPr>
          <w:rFonts w:ascii="Times New Roman" w:eastAsia="Times New Roman" w:hAnsi="Times New Roman" w:cs="Times New Roman"/>
          <w:sz w:val="20"/>
          <w:szCs w:val="20"/>
        </w:rPr>
      </w:pPr>
    </w:p>
    <w:p w14:paraId="48F9AB91" w14:textId="77777777" w:rsidR="00434700" w:rsidRPr="001F3967" w:rsidRDefault="00434700" w:rsidP="00A27EC4">
      <w:pPr>
        <w:spacing w:after="0" w:line="240" w:lineRule="auto"/>
        <w:jc w:val="center"/>
        <w:rPr>
          <w:rFonts w:ascii="Times New Roman" w:eastAsia="Times New Roman" w:hAnsi="Times New Roman" w:cs="Times New Roman"/>
          <w:sz w:val="20"/>
          <w:szCs w:val="20"/>
        </w:rPr>
      </w:pPr>
    </w:p>
    <w:p w14:paraId="47C039FF" w14:textId="5139A4A9" w:rsidR="00DA0BC5" w:rsidRPr="001F3967" w:rsidRDefault="00DA0BC5" w:rsidP="00A27EC4">
      <w:pPr>
        <w:spacing w:after="0" w:line="240" w:lineRule="auto"/>
        <w:jc w:val="center"/>
        <w:rPr>
          <w:rFonts w:ascii="Times New Roman" w:eastAsia="Times New Roman" w:hAnsi="Times New Roman" w:cs="Times New Roman"/>
          <w:sz w:val="20"/>
          <w:szCs w:val="20"/>
        </w:rPr>
      </w:pPr>
      <w:r w:rsidRPr="001F3967">
        <w:rPr>
          <w:rFonts w:ascii="Times New Roman" w:eastAsia="Times New Roman" w:hAnsi="Times New Roman" w:cs="Times New Roman"/>
          <w:sz w:val="20"/>
          <w:szCs w:val="20"/>
          <w:vertAlign w:val="superscript"/>
        </w:rPr>
        <w:t xml:space="preserve">1 </w:t>
      </w:r>
      <w:r w:rsidR="006863BD" w:rsidRPr="001F3967">
        <w:rPr>
          <w:rFonts w:ascii="Times New Roman" w:eastAsia="Times New Roman" w:hAnsi="Times New Roman" w:cs="Times New Roman"/>
          <w:sz w:val="20"/>
          <w:szCs w:val="20"/>
        </w:rPr>
        <w:t xml:space="preserve">Bahagian </w:t>
      </w:r>
      <w:r w:rsidR="00C81CC2" w:rsidRPr="001F3967">
        <w:rPr>
          <w:rFonts w:ascii="Times New Roman" w:eastAsia="Times New Roman" w:hAnsi="Times New Roman" w:cs="Times New Roman"/>
          <w:sz w:val="20"/>
          <w:szCs w:val="20"/>
        </w:rPr>
        <w:t>Kewangan</w:t>
      </w:r>
      <w:r w:rsidR="007B6AAA" w:rsidRPr="001F3967">
        <w:rPr>
          <w:rFonts w:ascii="Times New Roman" w:eastAsia="Times New Roman" w:hAnsi="Times New Roman" w:cs="Times New Roman"/>
          <w:sz w:val="20"/>
          <w:szCs w:val="20"/>
        </w:rPr>
        <w:t xml:space="preserve">, Tingkat </w:t>
      </w:r>
      <w:r w:rsidR="00C81CC2" w:rsidRPr="001F3967">
        <w:rPr>
          <w:rFonts w:ascii="Times New Roman" w:eastAsia="Times New Roman" w:hAnsi="Times New Roman" w:cs="Times New Roman"/>
          <w:sz w:val="20"/>
          <w:szCs w:val="20"/>
        </w:rPr>
        <w:t>1</w:t>
      </w:r>
      <w:r w:rsidR="007B6AAA" w:rsidRPr="001F3967">
        <w:rPr>
          <w:rFonts w:ascii="Times New Roman" w:eastAsia="Times New Roman" w:hAnsi="Times New Roman" w:cs="Times New Roman"/>
          <w:sz w:val="20"/>
          <w:szCs w:val="20"/>
        </w:rPr>
        <w:t xml:space="preserve">4, Ibu Pejabat </w:t>
      </w:r>
      <w:r w:rsidR="007D42C8" w:rsidRPr="001F3967">
        <w:rPr>
          <w:rFonts w:ascii="Times New Roman" w:eastAsia="Times New Roman" w:hAnsi="Times New Roman" w:cs="Times New Roman"/>
          <w:sz w:val="20"/>
          <w:szCs w:val="20"/>
        </w:rPr>
        <w:t>MARA</w:t>
      </w:r>
      <w:r w:rsidR="000E0A4A" w:rsidRPr="001F3967">
        <w:rPr>
          <w:rFonts w:ascii="Times New Roman" w:eastAsia="Times New Roman" w:hAnsi="Times New Roman" w:cs="Times New Roman"/>
          <w:sz w:val="20"/>
          <w:szCs w:val="20"/>
        </w:rPr>
        <w:t xml:space="preserve">, </w:t>
      </w:r>
      <w:r w:rsidR="007B6AAA" w:rsidRPr="001F3967">
        <w:rPr>
          <w:rFonts w:ascii="Times New Roman" w:eastAsia="Times New Roman" w:hAnsi="Times New Roman" w:cs="Times New Roman"/>
          <w:sz w:val="20"/>
          <w:szCs w:val="20"/>
        </w:rPr>
        <w:t xml:space="preserve">21, Jalan </w:t>
      </w:r>
      <w:r w:rsidR="004B1B52" w:rsidRPr="001F3967">
        <w:rPr>
          <w:rFonts w:ascii="Times New Roman" w:eastAsia="Times New Roman" w:hAnsi="Times New Roman" w:cs="Times New Roman"/>
          <w:sz w:val="20"/>
          <w:szCs w:val="20"/>
        </w:rPr>
        <w:t>MARA</w:t>
      </w:r>
      <w:r w:rsidR="007B6AAA" w:rsidRPr="001F3967">
        <w:rPr>
          <w:rFonts w:ascii="Times New Roman" w:eastAsia="Times New Roman" w:hAnsi="Times New Roman" w:cs="Times New Roman"/>
          <w:sz w:val="20"/>
          <w:szCs w:val="20"/>
        </w:rPr>
        <w:t>, 50609 Kuala Lumpur</w:t>
      </w:r>
      <w:r w:rsidR="009B02C5" w:rsidRPr="001F3967">
        <w:rPr>
          <w:rFonts w:ascii="Times New Roman" w:eastAsia="Times New Roman" w:hAnsi="Times New Roman" w:cs="Times New Roman"/>
          <w:sz w:val="20"/>
          <w:szCs w:val="20"/>
        </w:rPr>
        <w:t>, Wilayah Persekutuan Kuala Lumpur</w:t>
      </w:r>
    </w:p>
    <w:p w14:paraId="6841774B" w14:textId="54781D75" w:rsidR="008158D4" w:rsidRPr="001F3967" w:rsidRDefault="00C81CC2" w:rsidP="00A27EC4">
      <w:pPr>
        <w:spacing w:after="0" w:line="240" w:lineRule="auto"/>
        <w:jc w:val="center"/>
        <w:rPr>
          <w:rFonts w:ascii="Times New Roman" w:eastAsia="Times New Roman" w:hAnsi="Times New Roman" w:cs="Times New Roman"/>
          <w:sz w:val="20"/>
          <w:szCs w:val="20"/>
        </w:rPr>
      </w:pPr>
      <w:r w:rsidRPr="001F3967">
        <w:rPr>
          <w:rFonts w:ascii="Times New Roman" w:eastAsia="Times New Roman" w:hAnsi="Times New Roman" w:cs="Times New Roman"/>
          <w:sz w:val="20"/>
          <w:szCs w:val="20"/>
          <w:vertAlign w:val="superscript"/>
        </w:rPr>
        <w:t>2</w:t>
      </w:r>
      <w:r w:rsidR="002C0200" w:rsidRPr="001F3967">
        <w:rPr>
          <w:rFonts w:ascii="Times New Roman" w:eastAsia="Times New Roman" w:hAnsi="Times New Roman" w:cs="Times New Roman"/>
          <w:sz w:val="20"/>
          <w:szCs w:val="20"/>
          <w:vertAlign w:val="superscript"/>
        </w:rPr>
        <w:t>,3,4</w:t>
      </w:r>
      <w:r w:rsidR="008158D4" w:rsidRPr="001F3967">
        <w:rPr>
          <w:rFonts w:ascii="Times New Roman" w:eastAsia="Times New Roman" w:hAnsi="Times New Roman" w:cs="Times New Roman"/>
          <w:sz w:val="20"/>
          <w:szCs w:val="20"/>
        </w:rPr>
        <w:t xml:space="preserve"> </w:t>
      </w:r>
      <w:r w:rsidRPr="001F3967">
        <w:rPr>
          <w:rFonts w:ascii="Times New Roman" w:eastAsia="Times New Roman" w:hAnsi="Times New Roman" w:cs="Times New Roman"/>
          <w:sz w:val="20"/>
          <w:szCs w:val="20"/>
        </w:rPr>
        <w:t>Universiti Poly-</w:t>
      </w:r>
      <w:r w:rsidR="00366F55" w:rsidRPr="001F3967">
        <w:rPr>
          <w:rFonts w:ascii="Times New Roman" w:eastAsia="Times New Roman" w:hAnsi="Times New Roman" w:cs="Times New Roman"/>
          <w:sz w:val="20"/>
          <w:szCs w:val="20"/>
        </w:rPr>
        <w:t>Tech,</w:t>
      </w:r>
      <w:r w:rsidR="008158D4" w:rsidRPr="001F3967">
        <w:rPr>
          <w:rFonts w:ascii="Times New Roman" w:eastAsia="Times New Roman" w:hAnsi="Times New Roman" w:cs="Times New Roman"/>
          <w:sz w:val="20"/>
          <w:szCs w:val="20"/>
        </w:rPr>
        <w:t xml:space="preserve"> </w:t>
      </w:r>
      <w:r w:rsidR="00372CA4" w:rsidRPr="001F3967">
        <w:rPr>
          <w:rFonts w:ascii="Times New Roman" w:eastAsia="Times New Roman" w:hAnsi="Times New Roman" w:cs="Times New Roman"/>
          <w:sz w:val="20"/>
          <w:szCs w:val="20"/>
        </w:rPr>
        <w:t xml:space="preserve">Jalan </w:t>
      </w:r>
      <w:r w:rsidR="005F7A55" w:rsidRPr="001F3967">
        <w:rPr>
          <w:rFonts w:ascii="Times New Roman" w:eastAsia="Times New Roman" w:hAnsi="Times New Roman" w:cs="Times New Roman"/>
          <w:sz w:val="20"/>
          <w:szCs w:val="20"/>
        </w:rPr>
        <w:t>6/91</w:t>
      </w:r>
      <w:r w:rsidR="00372CA4" w:rsidRPr="001F3967">
        <w:rPr>
          <w:rFonts w:ascii="Times New Roman" w:eastAsia="Times New Roman" w:hAnsi="Times New Roman" w:cs="Times New Roman"/>
          <w:sz w:val="20"/>
          <w:szCs w:val="20"/>
        </w:rPr>
        <w:t xml:space="preserve">, </w:t>
      </w:r>
      <w:r w:rsidR="005F7A55" w:rsidRPr="001F3967">
        <w:rPr>
          <w:rFonts w:ascii="Times New Roman" w:eastAsia="Times New Roman" w:hAnsi="Times New Roman" w:cs="Times New Roman"/>
          <w:sz w:val="20"/>
          <w:szCs w:val="20"/>
        </w:rPr>
        <w:t>Taman Shamelin Perkasa</w:t>
      </w:r>
      <w:r w:rsidR="00372CA4" w:rsidRPr="001F3967">
        <w:rPr>
          <w:rFonts w:ascii="Times New Roman" w:eastAsia="Times New Roman" w:hAnsi="Times New Roman" w:cs="Times New Roman"/>
          <w:sz w:val="20"/>
          <w:szCs w:val="20"/>
        </w:rPr>
        <w:t xml:space="preserve">, </w:t>
      </w:r>
      <w:r w:rsidR="005F7A55" w:rsidRPr="001F3967">
        <w:rPr>
          <w:rFonts w:ascii="Times New Roman" w:eastAsia="Times New Roman" w:hAnsi="Times New Roman" w:cs="Times New Roman"/>
          <w:sz w:val="20"/>
          <w:szCs w:val="20"/>
        </w:rPr>
        <w:t>56100 Kuala Lumpur, Wilayah Persekutuan Kuala Lumpur</w:t>
      </w:r>
    </w:p>
    <w:p w14:paraId="570F81C6" w14:textId="77777777" w:rsidR="000A2CB3" w:rsidRPr="001F3967" w:rsidRDefault="000A2CB3" w:rsidP="00A27EC4">
      <w:pPr>
        <w:spacing w:after="0" w:line="240" w:lineRule="auto"/>
        <w:jc w:val="center"/>
        <w:rPr>
          <w:rFonts w:ascii="Times New Roman" w:eastAsia="Times New Roman" w:hAnsi="Times New Roman" w:cs="Times New Roman"/>
          <w:sz w:val="20"/>
          <w:szCs w:val="20"/>
        </w:rPr>
      </w:pPr>
    </w:p>
    <w:p w14:paraId="450DF64C" w14:textId="2D80FA0D" w:rsidR="002C0200" w:rsidRPr="001F3967" w:rsidRDefault="005F7A55" w:rsidP="00A27EC4">
      <w:pPr>
        <w:spacing w:after="0" w:line="240" w:lineRule="auto"/>
        <w:jc w:val="center"/>
        <w:rPr>
          <w:rFonts w:ascii="Times New Roman" w:eastAsia="Times New Roman" w:hAnsi="Times New Roman" w:cs="Times New Roman"/>
          <w:sz w:val="20"/>
          <w:szCs w:val="20"/>
        </w:rPr>
      </w:pPr>
      <w:r w:rsidRPr="001F3967">
        <w:rPr>
          <w:rFonts w:ascii="Times New Roman" w:eastAsia="Times New Roman" w:hAnsi="Times New Roman" w:cs="Times New Roman"/>
          <w:sz w:val="20"/>
          <w:szCs w:val="20"/>
        </w:rPr>
        <w:t>a</w:t>
      </w:r>
      <w:r w:rsidR="007D42C8" w:rsidRPr="001F3967">
        <w:rPr>
          <w:rFonts w:ascii="Times New Roman" w:eastAsia="Times New Roman" w:hAnsi="Times New Roman" w:cs="Times New Roman"/>
          <w:sz w:val="20"/>
          <w:szCs w:val="20"/>
        </w:rPr>
        <w:t>mara</w:t>
      </w:r>
      <w:r w:rsidRPr="001F3967">
        <w:rPr>
          <w:rFonts w:ascii="Times New Roman" w:eastAsia="Times New Roman" w:hAnsi="Times New Roman" w:cs="Times New Roman"/>
          <w:sz w:val="20"/>
          <w:szCs w:val="20"/>
        </w:rPr>
        <w:t>mir@</w:t>
      </w:r>
      <w:r w:rsidR="007D42C8" w:rsidRPr="001F3967">
        <w:rPr>
          <w:rFonts w:ascii="Times New Roman" w:eastAsia="Times New Roman" w:hAnsi="Times New Roman" w:cs="Times New Roman"/>
          <w:sz w:val="20"/>
          <w:szCs w:val="20"/>
        </w:rPr>
        <w:t>mara</w:t>
      </w:r>
      <w:r w:rsidRPr="001F3967">
        <w:rPr>
          <w:rFonts w:ascii="Times New Roman" w:eastAsia="Times New Roman" w:hAnsi="Times New Roman" w:cs="Times New Roman"/>
          <w:sz w:val="20"/>
          <w:szCs w:val="20"/>
        </w:rPr>
        <w:t xml:space="preserve">.gov.my, </w:t>
      </w:r>
    </w:p>
    <w:p w14:paraId="42D8D7E2" w14:textId="70C5925B" w:rsidR="00DA0BC5" w:rsidRPr="001F3967" w:rsidRDefault="00083C39" w:rsidP="00A27EC4">
      <w:pPr>
        <w:spacing w:after="0" w:line="240" w:lineRule="auto"/>
        <w:jc w:val="center"/>
        <w:rPr>
          <w:rFonts w:ascii="Times New Roman" w:eastAsia="Times New Roman" w:hAnsi="Times New Roman" w:cs="Times New Roman"/>
          <w:sz w:val="20"/>
          <w:szCs w:val="20"/>
        </w:rPr>
      </w:pPr>
      <w:hyperlink r:id="rId11" w:history="1">
        <w:r w:rsidR="002C0200" w:rsidRPr="001F3967">
          <w:rPr>
            <w:rStyle w:val="Hyperlink"/>
            <w:rFonts w:ascii="Times New Roman" w:eastAsia="Times New Roman" w:hAnsi="Times New Roman" w:cs="Times New Roman"/>
            <w:color w:val="auto"/>
            <w:sz w:val="20"/>
            <w:szCs w:val="20"/>
            <w:u w:val="none"/>
          </w:rPr>
          <w:t>nizam@uptm.edu.my</w:t>
        </w:r>
      </w:hyperlink>
    </w:p>
    <w:p w14:paraId="1A5DD5AC" w14:textId="1AB8927E" w:rsidR="002C0200" w:rsidRPr="001F3967" w:rsidRDefault="00083C39" w:rsidP="00A27EC4">
      <w:pPr>
        <w:spacing w:after="0" w:line="240" w:lineRule="auto"/>
        <w:jc w:val="center"/>
        <w:rPr>
          <w:rStyle w:val="Hyperlink"/>
          <w:rFonts w:ascii="Times New Roman" w:eastAsia="Times New Roman" w:hAnsi="Times New Roman" w:cs="Times New Roman"/>
          <w:color w:val="auto"/>
          <w:sz w:val="20"/>
          <w:szCs w:val="20"/>
          <w:u w:val="none"/>
        </w:rPr>
      </w:pPr>
      <w:hyperlink r:id="rId12" w:history="1">
        <w:r w:rsidR="002C0200" w:rsidRPr="001F3967">
          <w:rPr>
            <w:rStyle w:val="Hyperlink"/>
            <w:rFonts w:ascii="Times New Roman" w:eastAsia="Times New Roman" w:hAnsi="Times New Roman" w:cs="Times New Roman"/>
            <w:color w:val="auto"/>
            <w:sz w:val="20"/>
            <w:szCs w:val="20"/>
            <w:u w:val="none"/>
          </w:rPr>
          <w:t>sitizuraidah@uptm.edu.my</w:t>
        </w:r>
      </w:hyperlink>
    </w:p>
    <w:p w14:paraId="35D8AC70" w14:textId="1A963BD4" w:rsidR="009C2F55" w:rsidRPr="001F3967" w:rsidRDefault="009C2F55" w:rsidP="00A27EC4">
      <w:pPr>
        <w:spacing w:after="0" w:line="240" w:lineRule="auto"/>
        <w:jc w:val="center"/>
        <w:rPr>
          <w:rFonts w:ascii="Times New Roman" w:eastAsia="Times New Roman" w:hAnsi="Times New Roman" w:cs="Times New Roman"/>
          <w:sz w:val="20"/>
          <w:szCs w:val="20"/>
        </w:rPr>
      </w:pPr>
      <w:r w:rsidRPr="001F3967">
        <w:rPr>
          <w:rStyle w:val="Hyperlink"/>
          <w:rFonts w:ascii="Times New Roman" w:eastAsia="Times New Roman" w:hAnsi="Times New Roman" w:cs="Times New Roman"/>
          <w:color w:val="auto"/>
          <w:sz w:val="20"/>
          <w:szCs w:val="20"/>
          <w:u w:val="none"/>
        </w:rPr>
        <w:t>adam@uptm.edu.my</w:t>
      </w:r>
    </w:p>
    <w:p w14:paraId="5F974A0C" w14:textId="1AFEC179" w:rsidR="008C7D22" w:rsidRPr="001F3967" w:rsidRDefault="008C7D22" w:rsidP="00A27EC4">
      <w:pPr>
        <w:spacing w:after="0" w:line="240" w:lineRule="auto"/>
        <w:rPr>
          <w:rFonts w:ascii="Times New Roman" w:eastAsia="Times New Roman" w:hAnsi="Times New Roman" w:cs="Times New Roman"/>
          <w:sz w:val="20"/>
          <w:szCs w:val="20"/>
        </w:rPr>
      </w:pPr>
    </w:p>
    <w:p w14:paraId="3A50FC8C" w14:textId="77777777" w:rsidR="00BD01FA" w:rsidRPr="001F3967" w:rsidRDefault="00BD01FA" w:rsidP="00A27EC4">
      <w:pPr>
        <w:spacing w:after="0" w:line="240" w:lineRule="auto"/>
        <w:jc w:val="center"/>
        <w:rPr>
          <w:rFonts w:ascii="Times New Roman" w:eastAsia="Times New Roman" w:hAnsi="Times New Roman" w:cs="Times New Roman"/>
          <w:sz w:val="20"/>
          <w:szCs w:val="20"/>
        </w:rPr>
      </w:pPr>
    </w:p>
    <w:p w14:paraId="510F9B09" w14:textId="78DB9D67" w:rsidR="008C7D22" w:rsidRPr="001F3967" w:rsidRDefault="00765803" w:rsidP="00C81CC2">
      <w:pPr>
        <w:pStyle w:val="Abstract"/>
        <w:ind w:left="567" w:right="708"/>
        <w:rPr>
          <w:sz w:val="20"/>
          <w:szCs w:val="20"/>
        </w:rPr>
      </w:pPr>
      <w:r w:rsidRPr="001F3967">
        <w:rPr>
          <w:sz w:val="20"/>
          <w:szCs w:val="20"/>
        </w:rPr>
        <w:t>ABSTRACT</w:t>
      </w:r>
    </w:p>
    <w:p w14:paraId="1D3DFD4C" w14:textId="6E2B02B5" w:rsidR="00355F7F" w:rsidRPr="001F3967" w:rsidRDefault="00355F7F" w:rsidP="00A27EC4">
      <w:pPr>
        <w:spacing w:after="0" w:line="240" w:lineRule="auto"/>
        <w:ind w:left="567" w:right="708"/>
        <w:rPr>
          <w:rFonts w:ascii="Times New Roman" w:hAnsi="Times New Roman" w:cs="Times New Roman"/>
          <w:sz w:val="20"/>
          <w:szCs w:val="20"/>
          <w:lang w:val="en-MY"/>
        </w:rPr>
      </w:pPr>
    </w:p>
    <w:p w14:paraId="7FD1C6BB" w14:textId="67984A3F" w:rsidR="00DE515D" w:rsidRPr="001F3967" w:rsidRDefault="00F148A7" w:rsidP="00DE515D">
      <w:pPr>
        <w:spacing w:after="0" w:line="240" w:lineRule="auto"/>
        <w:ind w:left="567" w:right="708"/>
        <w:jc w:val="both"/>
        <w:rPr>
          <w:rFonts w:ascii="Times New Roman" w:eastAsia="Batang" w:hAnsi="Times New Roman" w:cs="Times New Roman"/>
          <w:i/>
          <w:sz w:val="20"/>
          <w:szCs w:val="20"/>
          <w:lang w:eastAsia="ko-KR"/>
        </w:rPr>
      </w:pPr>
      <w:r w:rsidRPr="001F3967">
        <w:rPr>
          <w:rFonts w:ascii="Times New Roman" w:eastAsia="Batang" w:hAnsi="Times New Roman" w:cs="Times New Roman"/>
          <w:i/>
          <w:sz w:val="20"/>
          <w:szCs w:val="20"/>
          <w:lang w:eastAsia="ko-KR"/>
        </w:rPr>
        <w:t xml:space="preserve">This study investigates the factors influencing financial resilience among subsidiaries </w:t>
      </w:r>
      <w:r w:rsidR="00CB5FC7" w:rsidRPr="001F3967">
        <w:rPr>
          <w:rFonts w:ascii="Times New Roman" w:eastAsia="Batang" w:hAnsi="Times New Roman" w:cs="Times New Roman"/>
          <w:i/>
          <w:sz w:val="20"/>
          <w:szCs w:val="20"/>
          <w:lang w:eastAsia="ko-KR"/>
        </w:rPr>
        <w:t>in</w:t>
      </w:r>
      <w:bookmarkStart w:id="0" w:name="_Hlk215483273"/>
      <w:r w:rsidR="00CA63EC">
        <w:rPr>
          <w:rFonts w:ascii="Times New Roman" w:eastAsia="Batang" w:hAnsi="Times New Roman" w:cs="Times New Roman"/>
          <w:i/>
          <w:sz w:val="20"/>
          <w:szCs w:val="20"/>
          <w:lang w:eastAsia="ko-KR"/>
        </w:rPr>
        <w:t xml:space="preserve"> </w:t>
      </w:r>
      <w:r w:rsidR="00CB5FC7" w:rsidRPr="001F3967">
        <w:rPr>
          <w:rFonts w:ascii="Times New Roman" w:eastAsia="Batang" w:hAnsi="Times New Roman" w:cs="Times New Roman"/>
          <w:i/>
          <w:sz w:val="20"/>
          <w:szCs w:val="20"/>
          <w:lang w:eastAsia="ko-KR"/>
        </w:rPr>
        <w:t xml:space="preserve">public sector </w:t>
      </w:r>
      <w:r w:rsidRPr="001F3967">
        <w:rPr>
          <w:rFonts w:ascii="Times New Roman" w:eastAsia="Batang" w:hAnsi="Times New Roman" w:cs="Times New Roman"/>
          <w:i/>
          <w:sz w:val="20"/>
          <w:szCs w:val="20"/>
          <w:lang w:eastAsia="ko-KR"/>
        </w:rPr>
        <w:t xml:space="preserve">agency </w:t>
      </w:r>
      <w:bookmarkEnd w:id="0"/>
      <w:r w:rsidRPr="001F3967">
        <w:rPr>
          <w:rFonts w:ascii="Times New Roman" w:eastAsia="Batang" w:hAnsi="Times New Roman" w:cs="Times New Roman"/>
          <w:i/>
          <w:sz w:val="20"/>
          <w:szCs w:val="20"/>
          <w:lang w:eastAsia="ko-KR"/>
        </w:rPr>
        <w:t xml:space="preserve">tasked with uplifting the socio-economic status of the </w:t>
      </w:r>
      <w:r w:rsidR="00CA63EC">
        <w:rPr>
          <w:rFonts w:ascii="Times New Roman" w:eastAsia="Batang" w:hAnsi="Times New Roman" w:cs="Times New Roman"/>
          <w:i/>
          <w:sz w:val="20"/>
          <w:szCs w:val="20"/>
          <w:lang w:eastAsia="ko-KR"/>
        </w:rPr>
        <w:t>indigenous</w:t>
      </w:r>
      <w:r w:rsidRPr="001F3967">
        <w:rPr>
          <w:rFonts w:ascii="Times New Roman" w:eastAsia="Batang" w:hAnsi="Times New Roman" w:cs="Times New Roman"/>
          <w:i/>
          <w:sz w:val="20"/>
          <w:szCs w:val="20"/>
          <w:lang w:eastAsia="ko-KR"/>
        </w:rPr>
        <w:t xml:space="preserve"> community. Straddling the dual mandate of social service and financial viability, </w:t>
      </w:r>
      <w:r w:rsidR="00CB5FC7" w:rsidRPr="001F3967">
        <w:rPr>
          <w:rFonts w:ascii="Times New Roman" w:eastAsia="Batang" w:hAnsi="Times New Roman" w:cs="Times New Roman"/>
          <w:i/>
          <w:sz w:val="20"/>
          <w:szCs w:val="20"/>
          <w:lang w:eastAsia="ko-KR"/>
        </w:rPr>
        <w:t xml:space="preserve">the subsidiaries </w:t>
      </w:r>
      <w:r w:rsidRPr="001F3967">
        <w:rPr>
          <w:rFonts w:ascii="Times New Roman" w:eastAsia="Batang" w:hAnsi="Times New Roman" w:cs="Times New Roman"/>
          <w:i/>
          <w:sz w:val="20"/>
          <w:szCs w:val="20"/>
          <w:lang w:eastAsia="ko-KR"/>
        </w:rPr>
        <w:t>present a compelling case for examining the complexities of managing government-linked enterprises (GLEs). Drawing on the Triple Bottom Line (TBL), Resource-Based View (RBV), and Stakeholder Theory, this research identifies five key variables that potentially contribute to organizational resilience: financial sustainability, revenue diversification, leadership quality, organizational capacity, and market demand. A cross-sectional survey of 381 employees across multiple subsidiaries, combined with multiple regression analysis, reveals that revenue diversification and organizational capacity are significant predictors of resilience, while financial sustainability, leadership quality, and market demand show positive but statistically insignificant relationships. The paper concludes with implications for policy and practice, offering recommendations for public-sector enterprises seeking to balance mission-driven objectives with sustainable financial outcomes.</w:t>
      </w:r>
    </w:p>
    <w:p w14:paraId="41AA3C86" w14:textId="77777777" w:rsidR="00F148A7" w:rsidRPr="001F3967" w:rsidRDefault="00F148A7" w:rsidP="00DE515D">
      <w:pPr>
        <w:spacing w:after="0" w:line="240" w:lineRule="auto"/>
        <w:ind w:left="567" w:right="708"/>
        <w:jc w:val="both"/>
        <w:rPr>
          <w:rFonts w:ascii="Times New Roman" w:hAnsi="Times New Roman" w:cs="Times New Roman"/>
          <w:i/>
          <w:iCs/>
          <w:sz w:val="20"/>
          <w:szCs w:val="20"/>
          <w:lang w:val="en-MY"/>
        </w:rPr>
      </w:pPr>
    </w:p>
    <w:p w14:paraId="0F7D4CEE" w14:textId="0F48AE9E" w:rsidR="0014492D" w:rsidRPr="001F3967" w:rsidRDefault="00E468A0" w:rsidP="00A27EC4">
      <w:pPr>
        <w:spacing w:after="0" w:line="240" w:lineRule="auto"/>
        <w:ind w:left="567" w:right="708"/>
        <w:jc w:val="both"/>
        <w:rPr>
          <w:rFonts w:ascii="Times New Roman" w:eastAsia="Batang" w:hAnsi="Times New Roman" w:cs="Times New Roman"/>
          <w:i/>
          <w:sz w:val="20"/>
          <w:szCs w:val="20"/>
          <w:lang w:eastAsia="ko-KR"/>
        </w:rPr>
      </w:pPr>
      <w:r w:rsidRPr="001F3967">
        <w:rPr>
          <w:rFonts w:ascii="Times New Roman" w:hAnsi="Times New Roman" w:cs="Times New Roman"/>
          <w:b/>
          <w:bCs/>
          <w:sz w:val="20"/>
          <w:szCs w:val="20"/>
          <w:lang w:val="en-MY"/>
        </w:rPr>
        <w:t>Keyword</w:t>
      </w:r>
      <w:r w:rsidR="0014492D" w:rsidRPr="001F3967">
        <w:rPr>
          <w:rFonts w:ascii="Times New Roman" w:hAnsi="Times New Roman" w:cs="Times New Roman"/>
          <w:b/>
          <w:bCs/>
          <w:sz w:val="20"/>
          <w:szCs w:val="20"/>
          <w:lang w:val="en-MY"/>
        </w:rPr>
        <w:t>s</w:t>
      </w:r>
      <w:r w:rsidRPr="001F3967">
        <w:rPr>
          <w:rFonts w:ascii="Times New Roman" w:hAnsi="Times New Roman" w:cs="Times New Roman"/>
          <w:b/>
          <w:bCs/>
          <w:sz w:val="20"/>
          <w:szCs w:val="20"/>
          <w:lang w:val="en-MY"/>
        </w:rPr>
        <w:t xml:space="preserve">: </w:t>
      </w:r>
      <w:r w:rsidR="00DE515D" w:rsidRPr="001F3967">
        <w:rPr>
          <w:rFonts w:ascii="Times New Roman" w:eastAsia="Batang" w:hAnsi="Times New Roman" w:cs="Times New Roman"/>
          <w:i/>
          <w:sz w:val="20"/>
          <w:szCs w:val="20"/>
          <w:lang w:eastAsia="ko-KR"/>
        </w:rPr>
        <w:t>financial resilience, social enterprise, government-linked company, revenue diversification,</w:t>
      </w:r>
      <w:r w:rsidR="00A95D32" w:rsidRPr="001F3967">
        <w:rPr>
          <w:rFonts w:ascii="Times New Roman" w:eastAsia="Batang" w:hAnsi="Times New Roman" w:cs="Times New Roman"/>
          <w:i/>
          <w:sz w:val="20"/>
          <w:szCs w:val="20"/>
          <w:lang w:eastAsia="ko-KR"/>
        </w:rPr>
        <w:t xml:space="preserve"> </w:t>
      </w:r>
    </w:p>
    <w:p w14:paraId="484039D5" w14:textId="0BE3E05D" w:rsidR="000968BA" w:rsidRPr="001F3967" w:rsidRDefault="000968BA" w:rsidP="00A27EC4">
      <w:pPr>
        <w:spacing w:after="0" w:line="240" w:lineRule="auto"/>
        <w:jc w:val="both"/>
        <w:rPr>
          <w:rFonts w:ascii="Times New Roman" w:hAnsi="Times New Roman" w:cs="Times New Roman"/>
          <w:iCs/>
          <w:sz w:val="20"/>
          <w:szCs w:val="20"/>
        </w:rPr>
      </w:pPr>
    </w:p>
    <w:p w14:paraId="40230835" w14:textId="5403A0DD" w:rsidR="00BD01FA" w:rsidRDefault="00BD01FA" w:rsidP="00A27EC4">
      <w:pPr>
        <w:spacing w:after="0" w:line="240" w:lineRule="auto"/>
        <w:rPr>
          <w:rFonts w:ascii="Times New Roman" w:hAnsi="Times New Roman" w:cs="Times New Roman"/>
          <w:sz w:val="20"/>
          <w:szCs w:val="20"/>
        </w:rPr>
      </w:pPr>
    </w:p>
    <w:p w14:paraId="2A3F2DEE" w14:textId="54D1CFA9" w:rsidR="001F3967" w:rsidRDefault="001F3967" w:rsidP="00A27EC4">
      <w:pPr>
        <w:spacing w:after="0" w:line="240" w:lineRule="auto"/>
        <w:rPr>
          <w:rFonts w:ascii="Times New Roman" w:hAnsi="Times New Roman" w:cs="Times New Roman"/>
          <w:sz w:val="20"/>
          <w:szCs w:val="20"/>
        </w:rPr>
      </w:pPr>
    </w:p>
    <w:p w14:paraId="10187C2F" w14:textId="1660DF3C" w:rsidR="001F3967" w:rsidRDefault="001F3967" w:rsidP="00A27EC4">
      <w:pPr>
        <w:spacing w:after="0" w:line="240" w:lineRule="auto"/>
        <w:rPr>
          <w:rFonts w:ascii="Times New Roman" w:hAnsi="Times New Roman" w:cs="Times New Roman"/>
          <w:sz w:val="20"/>
          <w:szCs w:val="20"/>
        </w:rPr>
      </w:pPr>
    </w:p>
    <w:p w14:paraId="1D60B134" w14:textId="217AD868" w:rsidR="001F3967" w:rsidRDefault="001F3967" w:rsidP="00A27EC4">
      <w:pPr>
        <w:spacing w:after="0" w:line="240" w:lineRule="auto"/>
        <w:rPr>
          <w:rFonts w:ascii="Times New Roman" w:hAnsi="Times New Roman" w:cs="Times New Roman"/>
          <w:sz w:val="20"/>
          <w:szCs w:val="20"/>
        </w:rPr>
      </w:pPr>
    </w:p>
    <w:p w14:paraId="00CCD052" w14:textId="4C6098A7" w:rsidR="001F3967" w:rsidRDefault="001F3967" w:rsidP="00A27EC4">
      <w:pPr>
        <w:spacing w:after="0" w:line="240" w:lineRule="auto"/>
        <w:rPr>
          <w:rFonts w:ascii="Times New Roman" w:hAnsi="Times New Roman" w:cs="Times New Roman"/>
          <w:sz w:val="20"/>
          <w:szCs w:val="20"/>
        </w:rPr>
      </w:pPr>
    </w:p>
    <w:p w14:paraId="30CD27B8" w14:textId="4979961C" w:rsidR="001F3967" w:rsidRDefault="001F3967" w:rsidP="00A27EC4">
      <w:pPr>
        <w:spacing w:after="0" w:line="240" w:lineRule="auto"/>
        <w:rPr>
          <w:rFonts w:ascii="Times New Roman" w:hAnsi="Times New Roman" w:cs="Times New Roman"/>
          <w:sz w:val="20"/>
          <w:szCs w:val="20"/>
        </w:rPr>
      </w:pPr>
    </w:p>
    <w:p w14:paraId="588088F6" w14:textId="56132892" w:rsidR="001F3967" w:rsidRDefault="001F3967" w:rsidP="00A27EC4">
      <w:pPr>
        <w:spacing w:after="0" w:line="240" w:lineRule="auto"/>
        <w:rPr>
          <w:rFonts w:ascii="Times New Roman" w:hAnsi="Times New Roman" w:cs="Times New Roman"/>
          <w:sz w:val="20"/>
          <w:szCs w:val="20"/>
        </w:rPr>
      </w:pPr>
    </w:p>
    <w:p w14:paraId="380855C3" w14:textId="2015EC93" w:rsidR="001F3967" w:rsidRDefault="001F3967" w:rsidP="00A27EC4">
      <w:pPr>
        <w:spacing w:after="0" w:line="240" w:lineRule="auto"/>
        <w:rPr>
          <w:rFonts w:ascii="Times New Roman" w:hAnsi="Times New Roman" w:cs="Times New Roman"/>
          <w:sz w:val="20"/>
          <w:szCs w:val="20"/>
        </w:rPr>
      </w:pPr>
    </w:p>
    <w:p w14:paraId="04219467" w14:textId="77777777" w:rsidR="00CA63EC" w:rsidRDefault="00CA63EC" w:rsidP="00A27EC4">
      <w:pPr>
        <w:spacing w:after="0" w:line="240" w:lineRule="auto"/>
        <w:rPr>
          <w:rFonts w:ascii="Times New Roman" w:hAnsi="Times New Roman" w:cs="Times New Roman"/>
          <w:sz w:val="20"/>
          <w:szCs w:val="20"/>
        </w:rPr>
      </w:pPr>
    </w:p>
    <w:p w14:paraId="45E068FB" w14:textId="77777777" w:rsidR="001F3967" w:rsidRPr="001F3967" w:rsidRDefault="001F3967" w:rsidP="00A27EC4">
      <w:pPr>
        <w:spacing w:after="0" w:line="240" w:lineRule="auto"/>
        <w:rPr>
          <w:rFonts w:ascii="Times New Roman" w:hAnsi="Times New Roman" w:cs="Times New Roman"/>
          <w:sz w:val="20"/>
          <w:szCs w:val="20"/>
        </w:rPr>
      </w:pPr>
    </w:p>
    <w:p w14:paraId="03D5592E" w14:textId="68A812B5" w:rsidR="00F01D82" w:rsidRPr="001F3967" w:rsidRDefault="00D405ED" w:rsidP="00A27EC4">
      <w:pPr>
        <w:pStyle w:val="HeaderL1"/>
        <w:ind w:left="567" w:hanging="567"/>
        <w:rPr>
          <w:rFonts w:ascii="Times New Roman" w:hAnsi="Times New Roman" w:cs="Times New Roman"/>
          <w:sz w:val="20"/>
          <w:szCs w:val="20"/>
        </w:rPr>
      </w:pPr>
      <w:r w:rsidRPr="001F3967">
        <w:rPr>
          <w:rFonts w:ascii="Times New Roman" w:hAnsi="Times New Roman" w:cs="Times New Roman"/>
          <w:sz w:val="20"/>
          <w:szCs w:val="20"/>
        </w:rPr>
        <w:lastRenderedPageBreak/>
        <w:t>INTRODUCTION</w:t>
      </w:r>
    </w:p>
    <w:p w14:paraId="6623D9CC" w14:textId="12E2AB9C" w:rsidR="00D405ED" w:rsidRPr="001F3967" w:rsidRDefault="00D405ED" w:rsidP="00A27EC4">
      <w:pPr>
        <w:pStyle w:val="HeaderL1"/>
        <w:numPr>
          <w:ilvl w:val="0"/>
          <w:numId w:val="0"/>
        </w:numPr>
        <w:ind w:left="567"/>
        <w:rPr>
          <w:rFonts w:ascii="Times New Roman" w:hAnsi="Times New Roman" w:cs="Times New Roman"/>
          <w:b w:val="0"/>
          <w:bCs w:val="0"/>
          <w:sz w:val="20"/>
          <w:szCs w:val="20"/>
        </w:rPr>
      </w:pPr>
    </w:p>
    <w:p w14:paraId="6306931A" w14:textId="597098B6" w:rsidR="005F7A55" w:rsidRPr="001F3967" w:rsidRDefault="00DF7DCC" w:rsidP="005F7A55">
      <w:pPr>
        <w:spacing w:after="0" w:line="240" w:lineRule="auto"/>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In recent years, the need for organizational resilience among government-linked agencies has become increasingly urgent, particularly in emerging economies where social equity and economic development are deeply intertwined.</w:t>
      </w:r>
      <w:r w:rsidR="005F7A55" w:rsidRPr="001F3967">
        <w:rPr>
          <w:rFonts w:ascii="Times New Roman" w:eastAsia="Batang" w:hAnsi="Times New Roman" w:cs="Times New Roman"/>
          <w:sz w:val="20"/>
          <w:szCs w:val="20"/>
          <w:lang w:eastAsia="ko-KR"/>
        </w:rPr>
        <w:t xml:space="preserve"> One such example is </w:t>
      </w:r>
      <w:r w:rsidR="007339E1" w:rsidRPr="001F3967">
        <w:rPr>
          <w:rFonts w:ascii="Times New Roman" w:eastAsia="Batang" w:hAnsi="Times New Roman" w:cs="Times New Roman"/>
          <w:sz w:val="20"/>
          <w:szCs w:val="20"/>
          <w:lang w:eastAsia="ko-KR"/>
        </w:rPr>
        <w:t>s</w:t>
      </w:r>
      <w:r w:rsidR="00CB5FC7" w:rsidRPr="001F3967">
        <w:rPr>
          <w:rFonts w:ascii="Times New Roman" w:eastAsia="Batang" w:hAnsi="Times New Roman" w:cs="Times New Roman"/>
          <w:sz w:val="20"/>
          <w:szCs w:val="20"/>
          <w:lang w:eastAsia="ko-KR"/>
        </w:rPr>
        <w:t>ubsidiaries in n public sector agency,</w:t>
      </w:r>
      <w:r w:rsidR="005F7A55" w:rsidRPr="001F3967">
        <w:rPr>
          <w:rFonts w:ascii="Times New Roman" w:eastAsia="Batang" w:hAnsi="Times New Roman" w:cs="Times New Roman"/>
          <w:sz w:val="20"/>
          <w:szCs w:val="20"/>
          <w:lang w:eastAsia="ko-KR"/>
        </w:rPr>
        <w:t xml:space="preserve"> </w:t>
      </w:r>
      <w:r w:rsidR="00CA63EC" w:rsidRPr="001F3967">
        <w:rPr>
          <w:rFonts w:ascii="Times New Roman" w:eastAsia="Batang" w:hAnsi="Times New Roman" w:cs="Times New Roman"/>
          <w:sz w:val="20"/>
          <w:szCs w:val="20"/>
          <w:lang w:eastAsia="ko-KR"/>
        </w:rPr>
        <w:t>a statutory</w:t>
      </w:r>
      <w:r w:rsidR="005F7A55" w:rsidRPr="001F3967">
        <w:rPr>
          <w:rFonts w:ascii="Times New Roman" w:eastAsia="Batang" w:hAnsi="Times New Roman" w:cs="Times New Roman"/>
          <w:sz w:val="20"/>
          <w:szCs w:val="20"/>
          <w:lang w:eastAsia="ko-KR"/>
        </w:rPr>
        <w:t xml:space="preserve"> agency tasked with uplifting the socioeconomic status of the </w:t>
      </w:r>
      <w:r w:rsidR="00CA63EC">
        <w:rPr>
          <w:rFonts w:ascii="Times New Roman" w:eastAsia="Batang" w:hAnsi="Times New Roman" w:cs="Times New Roman"/>
          <w:sz w:val="20"/>
          <w:szCs w:val="20"/>
          <w:lang w:eastAsia="ko-KR"/>
        </w:rPr>
        <w:t>Indigenous</w:t>
      </w:r>
      <w:r w:rsidR="005F7A55" w:rsidRPr="001F3967">
        <w:rPr>
          <w:rFonts w:ascii="Times New Roman" w:eastAsia="Batang" w:hAnsi="Times New Roman" w:cs="Times New Roman"/>
          <w:sz w:val="20"/>
          <w:szCs w:val="20"/>
          <w:lang w:eastAsia="ko-KR"/>
        </w:rPr>
        <w:t xml:space="preserve"> community through education, entrepreneurship, and infrastructure. </w:t>
      </w:r>
      <w:r w:rsidR="00CB5FC7" w:rsidRPr="001F3967">
        <w:rPr>
          <w:rFonts w:ascii="Times New Roman" w:eastAsia="Batang" w:hAnsi="Times New Roman" w:cs="Times New Roman"/>
          <w:sz w:val="20"/>
          <w:szCs w:val="20"/>
          <w:lang w:eastAsia="ko-KR"/>
        </w:rPr>
        <w:t>The subsidiaries   operate</w:t>
      </w:r>
      <w:r w:rsidR="005F7A55" w:rsidRPr="001F3967">
        <w:rPr>
          <w:rFonts w:ascii="Times New Roman" w:eastAsia="Batang" w:hAnsi="Times New Roman" w:cs="Times New Roman"/>
          <w:sz w:val="20"/>
          <w:szCs w:val="20"/>
          <w:lang w:eastAsia="ko-KR"/>
        </w:rPr>
        <w:t xml:space="preserve"> a network of subsidiaries that deliver public value services while also being expected to achieve commercial viability</w:t>
      </w:r>
      <w:r w:rsidR="007339E1" w:rsidRPr="001F3967">
        <w:rPr>
          <w:rFonts w:ascii="Times New Roman" w:eastAsia="Batang" w:hAnsi="Times New Roman" w:cs="Times New Roman"/>
          <w:sz w:val="20"/>
          <w:szCs w:val="20"/>
          <w:lang w:eastAsia="ko-KR"/>
        </w:rPr>
        <w:t xml:space="preserve">, </w:t>
      </w:r>
      <w:r w:rsidR="005F7A55" w:rsidRPr="001F3967">
        <w:rPr>
          <w:rFonts w:ascii="Times New Roman" w:eastAsia="Batang" w:hAnsi="Times New Roman" w:cs="Times New Roman"/>
          <w:sz w:val="20"/>
          <w:szCs w:val="20"/>
          <w:lang w:eastAsia="ko-KR"/>
        </w:rPr>
        <w:t>a delicate balance that typifies the dual mandate of social enterprises.</w:t>
      </w:r>
    </w:p>
    <w:p w14:paraId="3978D3AB" w14:textId="331D1437" w:rsidR="005F7A55" w:rsidRPr="001F3967" w:rsidRDefault="00DF7DCC" w:rsidP="005F7A55">
      <w:pPr>
        <w:spacing w:after="0" w:line="240" w:lineRule="auto"/>
        <w:ind w:firstLine="284"/>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Globally, the discourse on resilience has gained momentum, especially in the wake of economic disruptions, global pandemics, and increasing fiscal constraints</w:t>
      </w:r>
      <w:r w:rsidR="005F7A55" w:rsidRPr="001F3967">
        <w:rPr>
          <w:rFonts w:ascii="Times New Roman" w:eastAsia="Batang" w:hAnsi="Times New Roman" w:cs="Times New Roman"/>
          <w:sz w:val="20"/>
          <w:szCs w:val="20"/>
          <w:lang w:eastAsia="ko-KR"/>
        </w:rPr>
        <w:t xml:space="preserve">. While private-sector organizations often adapt quickly through innovation and strategic agility, government-linked social enterprises (GLSEs) like </w:t>
      </w:r>
      <w:r w:rsidR="00CB5FC7" w:rsidRPr="001F3967">
        <w:rPr>
          <w:rFonts w:ascii="Times New Roman" w:eastAsia="Batang" w:hAnsi="Times New Roman" w:cs="Times New Roman"/>
          <w:sz w:val="20"/>
          <w:szCs w:val="20"/>
          <w:lang w:eastAsia="ko-KR"/>
        </w:rPr>
        <w:t xml:space="preserve">the subsidiaries   </w:t>
      </w:r>
      <w:r w:rsidR="005F7A55" w:rsidRPr="001F3967">
        <w:rPr>
          <w:rFonts w:ascii="Times New Roman" w:eastAsia="Batang" w:hAnsi="Times New Roman" w:cs="Times New Roman"/>
          <w:sz w:val="20"/>
          <w:szCs w:val="20"/>
          <w:lang w:eastAsia="ko-KR"/>
        </w:rPr>
        <w:t xml:space="preserve">face distinct challenges. They are obligated to uphold public welfare objectives while navigating bureaucratic constraints, limited autonomy, and public scrutiny. </w:t>
      </w:r>
      <w:r w:rsidR="00CA63EC" w:rsidRPr="001F3967">
        <w:rPr>
          <w:rFonts w:ascii="Times New Roman" w:eastAsia="Batang" w:hAnsi="Times New Roman" w:cs="Times New Roman"/>
          <w:sz w:val="20"/>
          <w:szCs w:val="20"/>
          <w:lang w:eastAsia="ko-KR"/>
        </w:rPr>
        <w:t>In,</w:t>
      </w:r>
      <w:r w:rsidR="005F7A55" w:rsidRPr="001F3967">
        <w:rPr>
          <w:rFonts w:ascii="Times New Roman" w:eastAsia="Batang" w:hAnsi="Times New Roman" w:cs="Times New Roman"/>
          <w:sz w:val="20"/>
          <w:szCs w:val="20"/>
          <w:lang w:eastAsia="ko-KR"/>
        </w:rPr>
        <w:t xml:space="preserve"> such tensions are further exacerbated by shifting political landscapes, policy realignments, and rising expectations from the public sector to deliver results with limited resources.</w:t>
      </w:r>
    </w:p>
    <w:p w14:paraId="6D22A1EB" w14:textId="2D71EC5B" w:rsidR="005F7A55" w:rsidRPr="001F3967" w:rsidRDefault="00CB5FC7" w:rsidP="005F7A55">
      <w:pPr>
        <w:spacing w:after="0" w:line="240" w:lineRule="auto"/>
        <w:ind w:firstLine="284"/>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The subsidiaries’</w:t>
      </w:r>
      <w:r w:rsidR="00DF7DCC" w:rsidRPr="001F3967">
        <w:rPr>
          <w:rFonts w:ascii="Times New Roman" w:eastAsia="Batang" w:hAnsi="Times New Roman" w:cs="Times New Roman"/>
          <w:sz w:val="20"/>
          <w:szCs w:val="20"/>
          <w:lang w:eastAsia="ko-KR"/>
        </w:rPr>
        <w:t xml:space="preserve"> structure</w:t>
      </w:r>
      <w:r w:rsidRPr="001F3967">
        <w:rPr>
          <w:rFonts w:ascii="Times New Roman" w:eastAsia="Batang" w:hAnsi="Times New Roman" w:cs="Times New Roman"/>
          <w:sz w:val="20"/>
          <w:szCs w:val="20"/>
          <w:lang w:eastAsia="ko-KR"/>
        </w:rPr>
        <w:t xml:space="preserve"> </w:t>
      </w:r>
      <w:r w:rsidR="00DF7DCC" w:rsidRPr="001F3967">
        <w:rPr>
          <w:rFonts w:ascii="Times New Roman" w:eastAsia="Batang" w:hAnsi="Times New Roman" w:cs="Times New Roman"/>
          <w:sz w:val="20"/>
          <w:szCs w:val="20"/>
          <w:lang w:eastAsia="ko-KR"/>
        </w:rPr>
        <w:t>combining public oversight with semi-autonomous subsidiaries</w:t>
      </w:r>
      <w:r w:rsidRPr="001F3967">
        <w:rPr>
          <w:rFonts w:ascii="Times New Roman" w:eastAsia="Batang" w:hAnsi="Times New Roman" w:cs="Times New Roman"/>
          <w:sz w:val="20"/>
          <w:szCs w:val="20"/>
          <w:lang w:eastAsia="ko-KR"/>
        </w:rPr>
        <w:t xml:space="preserve"> </w:t>
      </w:r>
      <w:r w:rsidR="00DF7DCC" w:rsidRPr="001F3967">
        <w:rPr>
          <w:rFonts w:ascii="Times New Roman" w:eastAsia="Batang" w:hAnsi="Times New Roman" w:cs="Times New Roman"/>
          <w:sz w:val="20"/>
          <w:szCs w:val="20"/>
          <w:lang w:eastAsia="ko-KR"/>
        </w:rPr>
        <w:t>offers a unique lens through which to examine financial resilience in hybrid organizations</w:t>
      </w:r>
      <w:r w:rsidR="005F7A55" w:rsidRPr="001F3967">
        <w:rPr>
          <w:rFonts w:ascii="Times New Roman" w:eastAsia="Batang" w:hAnsi="Times New Roman" w:cs="Times New Roman"/>
          <w:sz w:val="20"/>
          <w:szCs w:val="20"/>
          <w:lang w:eastAsia="ko-KR"/>
        </w:rPr>
        <w:t>. These subsidiaries include educational institutions</w:t>
      </w:r>
      <w:r w:rsidRPr="001F3967">
        <w:rPr>
          <w:rFonts w:ascii="Times New Roman" w:eastAsia="Batang" w:hAnsi="Times New Roman" w:cs="Times New Roman"/>
          <w:sz w:val="20"/>
          <w:szCs w:val="20"/>
          <w:lang w:eastAsia="ko-KR"/>
        </w:rPr>
        <w:t xml:space="preserve">. </w:t>
      </w:r>
      <w:r w:rsidR="005F7A55" w:rsidRPr="001F3967">
        <w:rPr>
          <w:rFonts w:ascii="Times New Roman" w:eastAsia="Batang" w:hAnsi="Times New Roman" w:cs="Times New Roman"/>
          <w:sz w:val="20"/>
          <w:szCs w:val="20"/>
          <w:lang w:eastAsia="ko-KR"/>
        </w:rPr>
        <w:t>Each of these subsidiaries is charged with translating overarching mission into practice, often under financial and operational pressures. Some have succeeded in carving out sustainable models, while others have struggled with mission drift, underperformance, or reputational setbacks.</w:t>
      </w:r>
    </w:p>
    <w:p w14:paraId="01FB52E1" w14:textId="645F41FE" w:rsidR="005F7A55" w:rsidRPr="001F3967" w:rsidRDefault="005F7A55" w:rsidP="005F7A55">
      <w:pPr>
        <w:spacing w:after="0" w:line="240" w:lineRule="auto"/>
        <w:ind w:firstLine="284"/>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 xml:space="preserve">This study investigates the internal factors that influence the resilience of </w:t>
      </w:r>
      <w:r w:rsidR="00CB5FC7" w:rsidRPr="001F3967">
        <w:rPr>
          <w:rFonts w:ascii="Times New Roman" w:eastAsia="Batang" w:hAnsi="Times New Roman" w:cs="Times New Roman"/>
          <w:iCs/>
          <w:sz w:val="20"/>
          <w:szCs w:val="20"/>
          <w:lang w:eastAsia="ko-KR"/>
        </w:rPr>
        <w:t>n public sector agency</w:t>
      </w:r>
      <w:r w:rsidRPr="001F3967">
        <w:rPr>
          <w:rFonts w:ascii="Times New Roman" w:eastAsia="Batang" w:hAnsi="Times New Roman" w:cs="Times New Roman"/>
          <w:sz w:val="20"/>
          <w:szCs w:val="20"/>
          <w:lang w:eastAsia="ko-KR"/>
        </w:rPr>
        <w:t>. Specifically, it focuses on five key predictors derived from established theoretical frameworks: (1) financial sustainability, (2) revenue stream diversification, (3) leadership quality, (4) organizational capacity, and (5) market demand. The outcome variable is the perceived financial and strategic resilience of each subsidiary.</w:t>
      </w:r>
    </w:p>
    <w:p w14:paraId="27F0624D" w14:textId="118AB942" w:rsidR="005F7A55" w:rsidRPr="001F3967" w:rsidRDefault="00DF7DCC" w:rsidP="005F7A55">
      <w:pPr>
        <w:spacing w:after="0" w:line="240" w:lineRule="auto"/>
        <w:ind w:firstLine="284"/>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Although resilience is often viewed as a response to external market conditions, this research argues that internal organizational characteristics may play a more pivotal role in ensuring long-term survival and adaptability</w:t>
      </w:r>
      <w:r w:rsidR="005F7A55" w:rsidRPr="001F3967">
        <w:rPr>
          <w:rFonts w:ascii="Times New Roman" w:eastAsia="Batang" w:hAnsi="Times New Roman" w:cs="Times New Roman"/>
          <w:sz w:val="20"/>
          <w:szCs w:val="20"/>
          <w:lang w:eastAsia="ko-KR"/>
        </w:rPr>
        <w:t xml:space="preserve">. Drawing from the Triple Bottom Line (TBL), Resource-Based View (RBV), and Stakeholder Theory, the study proposes a holistic framework to assess how </w:t>
      </w:r>
      <w:r w:rsidR="00CB5FC7" w:rsidRPr="001F3967">
        <w:rPr>
          <w:rFonts w:ascii="Times New Roman" w:eastAsia="Batang" w:hAnsi="Times New Roman" w:cs="Times New Roman"/>
          <w:sz w:val="20"/>
          <w:szCs w:val="20"/>
          <w:lang w:eastAsia="ko-KR"/>
        </w:rPr>
        <w:t xml:space="preserve">the subsidiaries </w:t>
      </w:r>
      <w:r w:rsidR="005F7A55" w:rsidRPr="001F3967">
        <w:rPr>
          <w:rFonts w:ascii="Times New Roman" w:eastAsia="Batang" w:hAnsi="Times New Roman" w:cs="Times New Roman"/>
          <w:sz w:val="20"/>
          <w:szCs w:val="20"/>
          <w:lang w:eastAsia="ko-KR"/>
        </w:rPr>
        <w:t>navigate the competing demands of mission fulfillment and financial viability.</w:t>
      </w:r>
    </w:p>
    <w:p w14:paraId="01E27C7C" w14:textId="35739041" w:rsidR="005F7A55" w:rsidRPr="001F3967" w:rsidRDefault="00DF7DCC" w:rsidP="005F7A55">
      <w:pPr>
        <w:spacing w:after="0" w:line="240" w:lineRule="auto"/>
        <w:ind w:firstLine="284"/>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 xml:space="preserve">Drawing on empirical data from 381 respondents across multiple </w:t>
      </w:r>
      <w:r w:rsidR="00CB5FC7" w:rsidRPr="001F3967">
        <w:rPr>
          <w:rFonts w:ascii="Times New Roman" w:eastAsia="Batang" w:hAnsi="Times New Roman" w:cs="Times New Roman"/>
          <w:sz w:val="20"/>
          <w:szCs w:val="20"/>
          <w:lang w:eastAsia="ko-KR"/>
        </w:rPr>
        <w:t>the</w:t>
      </w:r>
      <w:r w:rsidRPr="001F3967">
        <w:rPr>
          <w:rFonts w:ascii="Times New Roman" w:eastAsia="Batang" w:hAnsi="Times New Roman" w:cs="Times New Roman"/>
          <w:sz w:val="20"/>
          <w:szCs w:val="20"/>
          <w:lang w:eastAsia="ko-KR"/>
        </w:rPr>
        <w:t xml:space="preserve"> subsidiaries</w:t>
      </w:r>
      <w:r w:rsidR="00CB5FC7" w:rsidRPr="001F3967">
        <w:rPr>
          <w:rFonts w:ascii="Times New Roman" w:eastAsia="Batang" w:hAnsi="Times New Roman" w:cs="Times New Roman"/>
          <w:i/>
          <w:sz w:val="20"/>
          <w:szCs w:val="20"/>
          <w:lang w:eastAsia="ko-KR"/>
        </w:rPr>
        <w:t xml:space="preserve"> </w:t>
      </w:r>
      <w:r w:rsidR="00CB5FC7" w:rsidRPr="001F3967">
        <w:rPr>
          <w:rFonts w:ascii="Times New Roman" w:eastAsia="Batang" w:hAnsi="Times New Roman" w:cs="Times New Roman"/>
          <w:iCs/>
          <w:sz w:val="20"/>
          <w:szCs w:val="20"/>
          <w:lang w:eastAsia="ko-KR"/>
        </w:rPr>
        <w:t>n public sector agency</w:t>
      </w:r>
      <w:r w:rsidRPr="001F3967">
        <w:rPr>
          <w:rFonts w:ascii="Times New Roman" w:eastAsia="Batang" w:hAnsi="Times New Roman" w:cs="Times New Roman"/>
          <w:sz w:val="20"/>
          <w:szCs w:val="20"/>
          <w:lang w:eastAsia="ko-KR"/>
        </w:rPr>
        <w:t>, this research seeks to make a dual contribution</w:t>
      </w:r>
      <w:r w:rsidR="005F7A55" w:rsidRPr="001F3967">
        <w:rPr>
          <w:rFonts w:ascii="Times New Roman" w:eastAsia="Batang" w:hAnsi="Times New Roman" w:cs="Times New Roman"/>
          <w:sz w:val="20"/>
          <w:szCs w:val="20"/>
          <w:lang w:eastAsia="ko-KR"/>
        </w:rPr>
        <w:t xml:space="preserve">: (1) to academic literature by refining our understanding of organizational resilience in GLSEs, and (2) to policy and practice by offering </w:t>
      </w:r>
      <w:r w:rsidR="00CB5FC7" w:rsidRPr="001F3967">
        <w:rPr>
          <w:rFonts w:ascii="Times New Roman" w:eastAsia="Batang" w:hAnsi="Times New Roman" w:cs="Times New Roman"/>
          <w:sz w:val="20"/>
          <w:szCs w:val="20"/>
          <w:lang w:eastAsia="ko-KR"/>
        </w:rPr>
        <w:t xml:space="preserve">the subsidiaries   </w:t>
      </w:r>
      <w:r w:rsidR="005F7A55" w:rsidRPr="001F3967">
        <w:rPr>
          <w:rFonts w:ascii="Times New Roman" w:eastAsia="Batang" w:hAnsi="Times New Roman" w:cs="Times New Roman"/>
          <w:sz w:val="20"/>
          <w:szCs w:val="20"/>
          <w:lang w:eastAsia="ko-KR"/>
        </w:rPr>
        <w:t>and similar institutions evidence-based strategies to enhance their operational sustainability.</w:t>
      </w:r>
    </w:p>
    <w:p w14:paraId="313255BC" w14:textId="5F27AF45" w:rsidR="008F4556" w:rsidRPr="001F3967" w:rsidRDefault="00DF7DCC" w:rsidP="005F7A55">
      <w:pPr>
        <w:spacing w:after="0" w:line="240" w:lineRule="auto"/>
        <w:ind w:firstLine="284"/>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In an era where government funding is increasingly tied to performance outcomes, and public scrutiny is intensified by digital transparency</w:t>
      </w:r>
      <w:r w:rsidR="005F7A55" w:rsidRPr="001F3967">
        <w:rPr>
          <w:rFonts w:ascii="Times New Roman" w:eastAsia="Batang" w:hAnsi="Times New Roman" w:cs="Times New Roman"/>
          <w:sz w:val="20"/>
          <w:szCs w:val="20"/>
          <w:lang w:eastAsia="ko-KR"/>
        </w:rPr>
        <w:t>, understanding what drives resilience is not merely academic</w:t>
      </w:r>
      <w:r w:rsidR="00CB5FC7" w:rsidRPr="001F3967">
        <w:rPr>
          <w:rFonts w:ascii="Times New Roman" w:eastAsia="Batang" w:hAnsi="Times New Roman" w:cs="Times New Roman"/>
          <w:sz w:val="20"/>
          <w:szCs w:val="20"/>
          <w:lang w:eastAsia="ko-KR"/>
        </w:rPr>
        <w:t xml:space="preserve">, </w:t>
      </w:r>
      <w:r w:rsidR="005F7A55" w:rsidRPr="001F3967">
        <w:rPr>
          <w:rFonts w:ascii="Times New Roman" w:eastAsia="Batang" w:hAnsi="Times New Roman" w:cs="Times New Roman"/>
          <w:sz w:val="20"/>
          <w:szCs w:val="20"/>
          <w:lang w:eastAsia="ko-KR"/>
        </w:rPr>
        <w:t>it is a matter of institutional survival and public trust.</w:t>
      </w:r>
    </w:p>
    <w:p w14:paraId="64338C4B" w14:textId="77777777" w:rsidR="00B10997" w:rsidRPr="001F3967" w:rsidRDefault="00B10997" w:rsidP="00A27EC4">
      <w:pPr>
        <w:spacing w:after="0" w:line="240" w:lineRule="auto"/>
        <w:rPr>
          <w:rFonts w:ascii="Times New Roman" w:hAnsi="Times New Roman" w:cs="Times New Roman"/>
          <w:sz w:val="20"/>
          <w:szCs w:val="20"/>
        </w:rPr>
      </w:pPr>
    </w:p>
    <w:p w14:paraId="4868C8DF" w14:textId="74D3D68D" w:rsidR="0004224D" w:rsidRPr="001F3967" w:rsidRDefault="00571235" w:rsidP="005F7A55">
      <w:pPr>
        <w:pStyle w:val="HeaderL1"/>
        <w:ind w:left="567" w:hanging="567"/>
        <w:rPr>
          <w:rFonts w:ascii="Times New Roman" w:eastAsia="Times New Roman" w:hAnsi="Times New Roman" w:cs="Times New Roman"/>
          <w:b w:val="0"/>
          <w:bCs w:val="0"/>
          <w:sz w:val="20"/>
          <w:szCs w:val="20"/>
        </w:rPr>
      </w:pPr>
      <w:bookmarkStart w:id="1" w:name="_Hlk66653877"/>
      <w:r w:rsidRPr="001F3967">
        <w:rPr>
          <w:rFonts w:ascii="Times New Roman" w:hAnsi="Times New Roman" w:cs="Times New Roman"/>
          <w:sz w:val="20"/>
          <w:szCs w:val="20"/>
        </w:rPr>
        <w:t>LITERATURE REVIEW</w:t>
      </w:r>
    </w:p>
    <w:p w14:paraId="3C01C0C8" w14:textId="77777777" w:rsidR="006F1DBD" w:rsidRPr="001F3967" w:rsidRDefault="006F1DBD" w:rsidP="00A27EC4">
      <w:pPr>
        <w:spacing w:after="0" w:line="240" w:lineRule="auto"/>
        <w:jc w:val="both"/>
        <w:rPr>
          <w:rFonts w:ascii="Times New Roman" w:hAnsi="Times New Roman" w:cs="Times New Roman"/>
          <w:sz w:val="20"/>
          <w:szCs w:val="20"/>
        </w:rPr>
      </w:pPr>
    </w:p>
    <w:p w14:paraId="3BA3D15C" w14:textId="42412C32" w:rsidR="006F1DBD" w:rsidRPr="001F3967" w:rsidRDefault="006F1DBD" w:rsidP="005F7A55">
      <w:pPr>
        <w:numPr>
          <w:ilvl w:val="1"/>
          <w:numId w:val="3"/>
        </w:numPr>
        <w:spacing w:after="0" w:line="240" w:lineRule="auto"/>
        <w:ind w:left="709" w:hanging="709"/>
        <w:jc w:val="both"/>
        <w:rPr>
          <w:rFonts w:ascii="Times New Roman" w:hAnsi="Times New Roman" w:cs="Times New Roman"/>
          <w:b/>
          <w:bCs/>
          <w:sz w:val="20"/>
          <w:szCs w:val="20"/>
        </w:rPr>
      </w:pPr>
      <w:r w:rsidRPr="001F3967">
        <w:rPr>
          <w:rFonts w:ascii="Times New Roman" w:hAnsi="Times New Roman" w:cs="Times New Roman"/>
          <w:b/>
          <w:bCs/>
          <w:sz w:val="20"/>
          <w:szCs w:val="20"/>
        </w:rPr>
        <w:t>Introduction to the Literature Review</w:t>
      </w:r>
    </w:p>
    <w:p w14:paraId="16227076" w14:textId="77777777" w:rsidR="00561CE0" w:rsidRPr="001F3967" w:rsidRDefault="00561CE0" w:rsidP="00A27EC4">
      <w:pPr>
        <w:spacing w:after="0" w:line="240" w:lineRule="auto"/>
        <w:jc w:val="both"/>
        <w:rPr>
          <w:rFonts w:ascii="Times New Roman" w:hAnsi="Times New Roman" w:cs="Times New Roman"/>
          <w:b/>
          <w:bCs/>
          <w:sz w:val="20"/>
          <w:szCs w:val="20"/>
        </w:rPr>
      </w:pPr>
    </w:p>
    <w:p w14:paraId="494CF166" w14:textId="7AD3C4FF" w:rsidR="00DD2E30" w:rsidRPr="001F3967" w:rsidRDefault="00DF7DCC" w:rsidP="005F7A55">
      <w:pPr>
        <w:spacing w:after="0" w:line="240" w:lineRule="auto"/>
        <w:jc w:val="both"/>
        <w:rPr>
          <w:rFonts w:ascii="Times New Roman" w:hAnsi="Times New Roman" w:cs="Times New Roman"/>
          <w:sz w:val="20"/>
          <w:szCs w:val="20"/>
        </w:rPr>
      </w:pPr>
      <w:r w:rsidRPr="001F3967">
        <w:rPr>
          <w:rFonts w:ascii="Times New Roman" w:hAnsi="Times New Roman" w:cs="Times New Roman"/>
          <w:sz w:val="20"/>
          <w:szCs w:val="20"/>
        </w:rPr>
        <w:t>Resilience has emerged as a central concept in discussions on organizational sustainability</w:t>
      </w:r>
      <w:r w:rsidR="005F7A55" w:rsidRPr="001F3967">
        <w:rPr>
          <w:rFonts w:ascii="Times New Roman" w:hAnsi="Times New Roman" w:cs="Times New Roman"/>
          <w:sz w:val="20"/>
          <w:szCs w:val="20"/>
        </w:rPr>
        <w:t>, particularly in sectors where social, political, and economic mandates converge. While its origins lie in ecology and psychology, the concept of resilience has been adopted by management and governance scholars to describe an organization’s ability to survive, adapt, and grow in the face of disruptions, uncertainty, or systemic change (Fiksel et al., 2019; Hamel, 2009). In the context of government-linked social enterprises (GLSEs), resilience refers to the strategic and operational capacity of organizations to deliver on their public mission while remaining financially viable over the long term.</w:t>
      </w:r>
    </w:p>
    <w:p w14:paraId="725FF48A" w14:textId="165755CE" w:rsidR="005F7A55" w:rsidRPr="001F3967" w:rsidRDefault="00DF7DCC" w:rsidP="005F7A55">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lastRenderedPageBreak/>
        <w:t xml:space="preserve">The demand for resilient organizations is especially critical in developing countries </w:t>
      </w:r>
      <w:r w:rsidR="00CA63EC" w:rsidRPr="001F3967">
        <w:rPr>
          <w:rFonts w:ascii="Times New Roman" w:hAnsi="Times New Roman" w:cs="Times New Roman"/>
          <w:sz w:val="20"/>
          <w:szCs w:val="20"/>
        </w:rPr>
        <w:t>like,</w:t>
      </w:r>
      <w:r w:rsidR="005F7A55" w:rsidRPr="001F3967">
        <w:rPr>
          <w:rFonts w:ascii="Times New Roman" w:hAnsi="Times New Roman" w:cs="Times New Roman"/>
          <w:sz w:val="20"/>
          <w:szCs w:val="20"/>
        </w:rPr>
        <w:t xml:space="preserve"> where public agencies are often responsible for both social equity and economic performance. Agencies such as </w:t>
      </w:r>
      <w:r w:rsidR="00CB5FC7" w:rsidRPr="001F3967">
        <w:rPr>
          <w:rFonts w:ascii="Times New Roman" w:hAnsi="Times New Roman" w:cs="Times New Roman"/>
          <w:sz w:val="20"/>
          <w:szCs w:val="20"/>
        </w:rPr>
        <w:t>Subsidiaries in n public sector agency operate</w:t>
      </w:r>
      <w:r w:rsidR="005F7A55" w:rsidRPr="001F3967">
        <w:rPr>
          <w:rFonts w:ascii="Times New Roman" w:hAnsi="Times New Roman" w:cs="Times New Roman"/>
          <w:sz w:val="20"/>
          <w:szCs w:val="20"/>
        </w:rPr>
        <w:t xml:space="preserve"> through subsidiaries that are expected to perform commercially while staying true to their public missions. This duality introduces unique tensions between cost-efficiency and accessibility,</w:t>
      </w:r>
      <w:r w:rsidR="00DD2E30" w:rsidRPr="001F3967">
        <w:rPr>
          <w:rFonts w:ascii="Times New Roman" w:hAnsi="Times New Roman" w:cs="Times New Roman"/>
          <w:sz w:val="20"/>
          <w:szCs w:val="20"/>
        </w:rPr>
        <w:t xml:space="preserve"> </w:t>
      </w:r>
      <w:r w:rsidR="005F7A55" w:rsidRPr="001F3967">
        <w:rPr>
          <w:rFonts w:ascii="Times New Roman" w:hAnsi="Times New Roman" w:cs="Times New Roman"/>
          <w:sz w:val="20"/>
          <w:szCs w:val="20"/>
        </w:rPr>
        <w:t>profitability and equity, autonomy and accountability that are not as prevalent in purely private or purely public organizations.</w:t>
      </w:r>
    </w:p>
    <w:p w14:paraId="25C16922" w14:textId="0E93CF86" w:rsidR="005F7A55" w:rsidRPr="001F3967" w:rsidRDefault="005F7A55" w:rsidP="005F7A55">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In this review, we examine the multidimensional nature of organizational resilience and its determinants. We begin with the theoretical foundations guiding the study, followed by a review of key empirical findings, identification of research gaps, and the formulation of a conceptual framework to guide the present research.</w:t>
      </w:r>
    </w:p>
    <w:p w14:paraId="0FC5A754" w14:textId="77777777" w:rsidR="006F1DBD" w:rsidRPr="001F3967" w:rsidRDefault="006F1DBD" w:rsidP="00DD2E30">
      <w:pPr>
        <w:spacing w:after="0" w:line="240" w:lineRule="auto"/>
        <w:jc w:val="both"/>
        <w:rPr>
          <w:rFonts w:ascii="Times New Roman" w:hAnsi="Times New Roman" w:cs="Times New Roman"/>
          <w:sz w:val="20"/>
          <w:szCs w:val="20"/>
        </w:rPr>
      </w:pPr>
    </w:p>
    <w:p w14:paraId="3DB61AA0" w14:textId="6AD9FB84" w:rsidR="009F6450" w:rsidRPr="001F3967" w:rsidRDefault="008B6FD2" w:rsidP="008B6FD2">
      <w:pPr>
        <w:pStyle w:val="ListParagraph"/>
        <w:numPr>
          <w:ilvl w:val="1"/>
          <w:numId w:val="3"/>
        </w:numPr>
        <w:spacing w:after="0" w:line="240" w:lineRule="auto"/>
        <w:ind w:left="567" w:hanging="567"/>
        <w:rPr>
          <w:rFonts w:ascii="Times New Roman" w:hAnsi="Times New Roman" w:cs="Times New Roman"/>
          <w:b/>
          <w:bCs/>
          <w:sz w:val="20"/>
          <w:szCs w:val="20"/>
        </w:rPr>
      </w:pPr>
      <w:r w:rsidRPr="001F3967">
        <w:rPr>
          <w:rFonts w:ascii="Times New Roman" w:hAnsi="Times New Roman" w:cs="Times New Roman"/>
          <w:b/>
          <w:bCs/>
          <w:sz w:val="20"/>
          <w:szCs w:val="20"/>
        </w:rPr>
        <w:t>Theoretical</w:t>
      </w:r>
      <w:r w:rsidR="009F6450" w:rsidRPr="001F3967">
        <w:rPr>
          <w:rFonts w:ascii="Times New Roman" w:hAnsi="Times New Roman" w:cs="Times New Roman"/>
          <w:b/>
          <w:bCs/>
          <w:sz w:val="20"/>
          <w:szCs w:val="20"/>
        </w:rPr>
        <w:t xml:space="preserve"> Framework </w:t>
      </w:r>
    </w:p>
    <w:p w14:paraId="646F3DAB" w14:textId="77777777" w:rsidR="008B6FD2" w:rsidRPr="001F3967" w:rsidRDefault="008B6FD2" w:rsidP="008B6FD2">
      <w:pPr>
        <w:pStyle w:val="ListParagraph"/>
        <w:spacing w:after="0" w:line="240" w:lineRule="auto"/>
        <w:ind w:left="1080"/>
        <w:rPr>
          <w:rFonts w:ascii="Times New Roman" w:hAnsi="Times New Roman" w:cs="Times New Roman"/>
          <w:b/>
          <w:bCs/>
          <w:sz w:val="20"/>
          <w:szCs w:val="20"/>
        </w:rPr>
      </w:pPr>
    </w:p>
    <w:p w14:paraId="06E93855" w14:textId="177593F9" w:rsidR="008B6FD2" w:rsidRPr="001F3967" w:rsidRDefault="008B6FD2" w:rsidP="008B6FD2">
      <w:pPr>
        <w:pStyle w:val="ListParagraph"/>
        <w:numPr>
          <w:ilvl w:val="2"/>
          <w:numId w:val="3"/>
        </w:numPr>
        <w:spacing w:after="0" w:line="240" w:lineRule="auto"/>
        <w:ind w:left="567" w:firstLine="0"/>
        <w:rPr>
          <w:rFonts w:ascii="Times New Roman" w:hAnsi="Times New Roman" w:cs="Times New Roman"/>
          <w:b/>
          <w:bCs/>
          <w:sz w:val="20"/>
          <w:szCs w:val="20"/>
        </w:rPr>
      </w:pPr>
      <w:r w:rsidRPr="001F3967">
        <w:rPr>
          <w:rFonts w:ascii="Times New Roman" w:hAnsi="Times New Roman" w:cs="Times New Roman"/>
          <w:b/>
          <w:bCs/>
          <w:sz w:val="20"/>
          <w:szCs w:val="20"/>
        </w:rPr>
        <w:t>The Triple Bottom Line (TBL)</w:t>
      </w:r>
    </w:p>
    <w:p w14:paraId="14BA8250" w14:textId="77777777" w:rsidR="00507295" w:rsidRPr="001F3967" w:rsidRDefault="00507295" w:rsidP="00507295">
      <w:pPr>
        <w:pStyle w:val="ListParagraph"/>
        <w:spacing w:after="0" w:line="240" w:lineRule="auto"/>
        <w:ind w:left="567"/>
        <w:rPr>
          <w:rFonts w:ascii="Times New Roman" w:hAnsi="Times New Roman" w:cs="Times New Roman"/>
          <w:b/>
          <w:bCs/>
          <w:sz w:val="20"/>
          <w:szCs w:val="20"/>
        </w:rPr>
      </w:pPr>
    </w:p>
    <w:p w14:paraId="5C1BB52A" w14:textId="68207924" w:rsidR="008B6FD2" w:rsidRPr="001F3967" w:rsidRDefault="008B6FD2" w:rsidP="008B6FD2">
      <w:pPr>
        <w:pStyle w:val="HeaderL1"/>
        <w:numPr>
          <w:ilvl w:val="0"/>
          <w:numId w:val="0"/>
        </w:numPr>
        <w:ind w:left="1418"/>
        <w:rPr>
          <w:rFonts w:ascii="Times New Roman" w:hAnsi="Times New Roman" w:cs="Times New Roman"/>
          <w:b w:val="0"/>
          <w:bCs w:val="0"/>
          <w:sz w:val="20"/>
          <w:szCs w:val="20"/>
        </w:rPr>
      </w:pPr>
      <w:r w:rsidRPr="001F3967">
        <w:rPr>
          <w:rFonts w:ascii="Times New Roman" w:hAnsi="Times New Roman" w:cs="Times New Roman"/>
          <w:b w:val="0"/>
          <w:bCs w:val="0"/>
          <w:sz w:val="20"/>
          <w:szCs w:val="20"/>
        </w:rPr>
        <w:t xml:space="preserve">The TBL model, introduced by Elkington (1994), posits that organizational success should be measured across three dimensions: economic (profit), social (people), and environmental (planet). In the context of </w:t>
      </w:r>
      <w:r w:rsidR="00CB5FC7" w:rsidRPr="001F3967">
        <w:rPr>
          <w:rFonts w:ascii="Times New Roman" w:hAnsi="Times New Roman" w:cs="Times New Roman"/>
          <w:b w:val="0"/>
          <w:bCs w:val="0"/>
          <w:sz w:val="20"/>
          <w:szCs w:val="20"/>
        </w:rPr>
        <w:t>the subsidiaries</w:t>
      </w:r>
      <w:r w:rsidRPr="001F3967">
        <w:rPr>
          <w:rFonts w:ascii="Times New Roman" w:hAnsi="Times New Roman" w:cs="Times New Roman"/>
          <w:b w:val="0"/>
          <w:bCs w:val="0"/>
          <w:sz w:val="20"/>
          <w:szCs w:val="20"/>
        </w:rPr>
        <w:t xml:space="preserve">, this translates to balancing fiscal sustainability with the delivery of equitable services to the </w:t>
      </w:r>
      <w:r w:rsidR="00CA63EC">
        <w:rPr>
          <w:rFonts w:ascii="Times New Roman" w:hAnsi="Times New Roman" w:cs="Times New Roman"/>
          <w:b w:val="0"/>
          <w:bCs w:val="0"/>
          <w:sz w:val="20"/>
          <w:szCs w:val="20"/>
        </w:rPr>
        <w:t>Indigenous</w:t>
      </w:r>
      <w:r w:rsidRPr="001F3967">
        <w:rPr>
          <w:rFonts w:ascii="Times New Roman" w:hAnsi="Times New Roman" w:cs="Times New Roman"/>
          <w:b w:val="0"/>
          <w:bCs w:val="0"/>
          <w:sz w:val="20"/>
          <w:szCs w:val="20"/>
        </w:rPr>
        <w:t xml:space="preserve"> community. </w:t>
      </w:r>
      <w:r w:rsidR="00CB5FC7" w:rsidRPr="001F3967">
        <w:rPr>
          <w:rFonts w:ascii="Times New Roman" w:hAnsi="Times New Roman" w:cs="Times New Roman"/>
          <w:b w:val="0"/>
          <w:bCs w:val="0"/>
          <w:sz w:val="20"/>
          <w:szCs w:val="20"/>
        </w:rPr>
        <w:t xml:space="preserve">The </w:t>
      </w:r>
      <w:r w:rsidRPr="001F3967">
        <w:rPr>
          <w:rFonts w:ascii="Times New Roman" w:hAnsi="Times New Roman" w:cs="Times New Roman"/>
          <w:b w:val="0"/>
          <w:bCs w:val="0"/>
          <w:sz w:val="20"/>
          <w:szCs w:val="20"/>
        </w:rPr>
        <w:t>subsidiaries must navigate complex expectations</w:t>
      </w:r>
      <w:r w:rsidR="00CB5FC7" w:rsidRPr="001F3967">
        <w:rPr>
          <w:rFonts w:ascii="Times New Roman" w:hAnsi="Times New Roman" w:cs="Times New Roman"/>
          <w:b w:val="0"/>
          <w:bCs w:val="0"/>
          <w:sz w:val="20"/>
          <w:szCs w:val="20"/>
        </w:rPr>
        <w:t xml:space="preserve">, </w:t>
      </w:r>
      <w:r w:rsidRPr="001F3967">
        <w:rPr>
          <w:rFonts w:ascii="Times New Roman" w:hAnsi="Times New Roman" w:cs="Times New Roman"/>
          <w:b w:val="0"/>
          <w:bCs w:val="0"/>
          <w:sz w:val="20"/>
          <w:szCs w:val="20"/>
        </w:rPr>
        <w:t>they are expected to be financially autonomous, yet provide public goods such as education and entrepreneurship training.</w:t>
      </w:r>
    </w:p>
    <w:p w14:paraId="5CF1A8D2" w14:textId="77777777" w:rsidR="001F3967" w:rsidRPr="001F3967" w:rsidRDefault="001F3967" w:rsidP="001F3967">
      <w:pPr>
        <w:pStyle w:val="HeaderL1"/>
        <w:numPr>
          <w:ilvl w:val="0"/>
          <w:numId w:val="0"/>
        </w:numPr>
        <w:rPr>
          <w:rFonts w:ascii="Times New Roman" w:hAnsi="Times New Roman" w:cs="Times New Roman"/>
          <w:b w:val="0"/>
          <w:bCs w:val="0"/>
          <w:sz w:val="20"/>
          <w:szCs w:val="20"/>
        </w:rPr>
      </w:pPr>
    </w:p>
    <w:p w14:paraId="2901724D" w14:textId="77777777" w:rsidR="008B6FD2" w:rsidRPr="001F3967" w:rsidRDefault="008B6FD2" w:rsidP="008B6FD2">
      <w:pPr>
        <w:pStyle w:val="ListParagraph"/>
        <w:numPr>
          <w:ilvl w:val="2"/>
          <w:numId w:val="3"/>
        </w:numPr>
        <w:spacing w:after="0" w:line="240" w:lineRule="auto"/>
        <w:ind w:left="567" w:firstLine="0"/>
        <w:rPr>
          <w:rFonts w:ascii="Times New Roman" w:hAnsi="Times New Roman" w:cs="Times New Roman"/>
          <w:b/>
          <w:bCs/>
          <w:sz w:val="20"/>
          <w:szCs w:val="20"/>
        </w:rPr>
      </w:pPr>
      <w:r w:rsidRPr="001F3967">
        <w:rPr>
          <w:rFonts w:ascii="Times New Roman" w:hAnsi="Times New Roman" w:cs="Times New Roman"/>
          <w:b/>
          <w:bCs/>
          <w:sz w:val="20"/>
          <w:szCs w:val="20"/>
        </w:rPr>
        <w:t>Resourced-Based View (RBV)</w:t>
      </w:r>
    </w:p>
    <w:p w14:paraId="1647036A" w14:textId="77777777" w:rsidR="00507295" w:rsidRPr="001F3967" w:rsidRDefault="00507295" w:rsidP="00507295">
      <w:pPr>
        <w:pStyle w:val="ListParagraph"/>
        <w:spacing w:after="0" w:line="240" w:lineRule="auto"/>
        <w:ind w:left="567"/>
        <w:rPr>
          <w:rFonts w:ascii="Times New Roman" w:hAnsi="Times New Roman" w:cs="Times New Roman"/>
          <w:b/>
          <w:bCs/>
          <w:sz w:val="20"/>
          <w:szCs w:val="20"/>
        </w:rPr>
      </w:pPr>
    </w:p>
    <w:p w14:paraId="7A91D2B3" w14:textId="4BA99BAB" w:rsidR="008B6FD2" w:rsidRPr="001F3967" w:rsidRDefault="008B6FD2" w:rsidP="008B6FD2">
      <w:pPr>
        <w:pStyle w:val="HeaderL1"/>
        <w:numPr>
          <w:ilvl w:val="0"/>
          <w:numId w:val="0"/>
        </w:numPr>
        <w:ind w:left="1418"/>
        <w:rPr>
          <w:rFonts w:ascii="Times New Roman" w:hAnsi="Times New Roman" w:cs="Times New Roman"/>
          <w:b w:val="0"/>
          <w:bCs w:val="0"/>
          <w:sz w:val="20"/>
          <w:szCs w:val="20"/>
        </w:rPr>
      </w:pPr>
      <w:r w:rsidRPr="001F3967">
        <w:rPr>
          <w:rFonts w:ascii="Times New Roman" w:hAnsi="Times New Roman" w:cs="Times New Roman"/>
          <w:b w:val="0"/>
          <w:bCs w:val="0"/>
          <w:sz w:val="20"/>
          <w:szCs w:val="20"/>
        </w:rPr>
        <w:t>The RBV (Barney, 1991) argues that sustainable competitive advantage stems from internal resources that are valuable, rare, inimitable, and non-substitutable (VRIN). Organizational capacity</w:t>
      </w:r>
      <w:r w:rsidR="00CB5FC7" w:rsidRPr="001F3967">
        <w:rPr>
          <w:rFonts w:ascii="Times New Roman" w:hAnsi="Times New Roman" w:cs="Times New Roman"/>
          <w:b w:val="0"/>
          <w:bCs w:val="0"/>
          <w:sz w:val="20"/>
          <w:szCs w:val="20"/>
        </w:rPr>
        <w:t xml:space="preserve"> </w:t>
      </w:r>
      <w:r w:rsidRPr="001F3967">
        <w:rPr>
          <w:rFonts w:ascii="Times New Roman" w:hAnsi="Times New Roman" w:cs="Times New Roman"/>
          <w:b w:val="0"/>
          <w:bCs w:val="0"/>
          <w:sz w:val="20"/>
          <w:szCs w:val="20"/>
        </w:rPr>
        <w:t>including infrastructure, skilled personnel, governance systems, and tacit knowledge</w:t>
      </w:r>
      <w:r w:rsidR="00CB5FC7" w:rsidRPr="001F3967">
        <w:rPr>
          <w:rFonts w:ascii="Times New Roman" w:hAnsi="Times New Roman" w:cs="Times New Roman"/>
          <w:b w:val="0"/>
          <w:bCs w:val="0"/>
          <w:sz w:val="20"/>
          <w:szCs w:val="20"/>
        </w:rPr>
        <w:t xml:space="preserve">, </w:t>
      </w:r>
      <w:r w:rsidRPr="001F3967">
        <w:rPr>
          <w:rFonts w:ascii="Times New Roman" w:hAnsi="Times New Roman" w:cs="Times New Roman"/>
          <w:b w:val="0"/>
          <w:bCs w:val="0"/>
          <w:sz w:val="20"/>
          <w:szCs w:val="20"/>
        </w:rPr>
        <w:t>becomes central to resilience. This theory underscores the importance of looking inward when evaluating organizational effectiveness.</w:t>
      </w:r>
    </w:p>
    <w:p w14:paraId="799C800D" w14:textId="77777777" w:rsidR="001A42AB" w:rsidRPr="001F3967" w:rsidRDefault="001A42AB" w:rsidP="00DD2E30">
      <w:pPr>
        <w:pStyle w:val="HeaderL1"/>
        <w:numPr>
          <w:ilvl w:val="0"/>
          <w:numId w:val="0"/>
        </w:numPr>
        <w:rPr>
          <w:rFonts w:ascii="Times New Roman" w:hAnsi="Times New Roman" w:cs="Times New Roman"/>
          <w:b w:val="0"/>
          <w:bCs w:val="0"/>
          <w:sz w:val="20"/>
          <w:szCs w:val="20"/>
        </w:rPr>
      </w:pPr>
    </w:p>
    <w:p w14:paraId="66B2F5EF" w14:textId="3D5AC988" w:rsidR="008B6FD2" w:rsidRPr="001F3967" w:rsidRDefault="008B6FD2" w:rsidP="008B6FD2">
      <w:pPr>
        <w:pStyle w:val="ListParagraph"/>
        <w:numPr>
          <w:ilvl w:val="2"/>
          <w:numId w:val="3"/>
        </w:numPr>
        <w:spacing w:after="0" w:line="240" w:lineRule="auto"/>
        <w:ind w:left="567" w:firstLine="0"/>
        <w:rPr>
          <w:rFonts w:ascii="Times New Roman" w:hAnsi="Times New Roman" w:cs="Times New Roman"/>
          <w:b/>
          <w:bCs/>
          <w:sz w:val="20"/>
          <w:szCs w:val="20"/>
        </w:rPr>
      </w:pPr>
      <w:r w:rsidRPr="001F3967">
        <w:rPr>
          <w:rFonts w:ascii="Times New Roman" w:hAnsi="Times New Roman" w:cs="Times New Roman"/>
          <w:b/>
          <w:bCs/>
          <w:sz w:val="20"/>
          <w:szCs w:val="20"/>
        </w:rPr>
        <w:t>Stakeholder Theory</w:t>
      </w:r>
    </w:p>
    <w:p w14:paraId="2423EB64" w14:textId="49C9BC18" w:rsidR="008B6FD2" w:rsidRPr="001F3967" w:rsidRDefault="008B6FD2" w:rsidP="00DD2E30">
      <w:pPr>
        <w:ind w:left="1418"/>
        <w:jc w:val="both"/>
        <w:rPr>
          <w:rFonts w:ascii="Times New Roman" w:hAnsi="Times New Roman" w:cs="Times New Roman"/>
          <w:b/>
          <w:bCs/>
          <w:sz w:val="20"/>
          <w:szCs w:val="20"/>
        </w:rPr>
      </w:pPr>
      <w:r w:rsidRPr="001F3967">
        <w:rPr>
          <w:rFonts w:ascii="Times New Roman" w:hAnsi="Times New Roman" w:cs="Times New Roman"/>
          <w:sz w:val="20"/>
          <w:szCs w:val="20"/>
        </w:rPr>
        <w:t xml:space="preserve">Stakeholder theory (Freeman, 1984) contends that organizations must account for the interests of all stakeholders, not just shareholders. For public-sector social enterprises like </w:t>
      </w:r>
      <w:r w:rsidR="00CB5FC7" w:rsidRPr="001F3967">
        <w:rPr>
          <w:rFonts w:ascii="Times New Roman" w:hAnsi="Times New Roman" w:cs="Times New Roman"/>
          <w:sz w:val="20"/>
          <w:szCs w:val="20"/>
        </w:rPr>
        <w:t>the subsidiaries</w:t>
      </w:r>
      <w:r w:rsidRPr="001F3967">
        <w:rPr>
          <w:rFonts w:ascii="Times New Roman" w:hAnsi="Times New Roman" w:cs="Times New Roman"/>
          <w:sz w:val="20"/>
          <w:szCs w:val="20"/>
        </w:rPr>
        <w:t>, stakeholders include the government, beneficiaries, regulators, staff, funders, and the general public. Resilience, in this framework, entails maintaining legitimacy and operational alignment with the expectations of multiple, and often conflicting, stakeholder groups.</w:t>
      </w:r>
    </w:p>
    <w:p w14:paraId="0E1A2746" w14:textId="4D284517" w:rsidR="0089024F" w:rsidRPr="001F3967" w:rsidRDefault="008B6FD2" w:rsidP="001F3967">
      <w:pPr>
        <w:spacing w:before="100" w:beforeAutospacing="1" w:after="100" w:afterAutospacing="1"/>
        <w:rPr>
          <w:rFonts w:ascii="Times New Roman" w:hAnsi="Times New Roman" w:cs="Times New Roman"/>
          <w:sz w:val="20"/>
          <w:szCs w:val="20"/>
        </w:rPr>
      </w:pPr>
      <w:bookmarkStart w:id="2" w:name="_Hlk109135062"/>
      <w:r w:rsidRPr="001F3967">
        <w:rPr>
          <w:rFonts w:ascii="Times New Roman" w:hAnsi="Times New Roman" w:cs="Times New Roman"/>
          <w:sz w:val="20"/>
          <w:szCs w:val="20"/>
        </w:rPr>
        <w:t xml:space="preserve">Together, these frameworks provide a comprehensive lens through which to explore resilience. From this synthesis, five key factors were identified as predictors of resilience in </w:t>
      </w:r>
      <w:r w:rsidR="00E03843" w:rsidRPr="001F3967">
        <w:rPr>
          <w:rFonts w:ascii="Times New Roman" w:hAnsi="Times New Roman" w:cs="Times New Roman"/>
          <w:sz w:val="20"/>
          <w:szCs w:val="20"/>
        </w:rPr>
        <w:t>the</w:t>
      </w:r>
      <w:r w:rsidRPr="001F3967">
        <w:rPr>
          <w:rFonts w:ascii="Times New Roman" w:hAnsi="Times New Roman" w:cs="Times New Roman"/>
          <w:sz w:val="20"/>
          <w:szCs w:val="20"/>
        </w:rPr>
        <w:t xml:space="preserve"> subsidiaries: financial sustainability, revenue diversification, leadership quality, organizational capacity, and market demand for products and services.</w:t>
      </w:r>
    </w:p>
    <w:p w14:paraId="01052FB7" w14:textId="628A2CF2" w:rsidR="006F1DBD" w:rsidRPr="001F3967" w:rsidRDefault="006F1DBD" w:rsidP="00A27EC4">
      <w:pPr>
        <w:numPr>
          <w:ilvl w:val="1"/>
          <w:numId w:val="3"/>
        </w:numPr>
        <w:spacing w:after="0" w:line="240" w:lineRule="auto"/>
        <w:ind w:left="426" w:hanging="426"/>
        <w:jc w:val="both"/>
        <w:rPr>
          <w:rFonts w:ascii="Times New Roman" w:hAnsi="Times New Roman" w:cs="Times New Roman"/>
          <w:b/>
          <w:bCs/>
          <w:sz w:val="20"/>
          <w:szCs w:val="20"/>
        </w:rPr>
      </w:pPr>
      <w:r w:rsidRPr="001F3967">
        <w:rPr>
          <w:rFonts w:ascii="Times New Roman" w:hAnsi="Times New Roman" w:cs="Times New Roman"/>
          <w:b/>
          <w:bCs/>
          <w:sz w:val="20"/>
          <w:szCs w:val="20"/>
        </w:rPr>
        <w:t>Key Studies and Research Findings</w:t>
      </w:r>
    </w:p>
    <w:p w14:paraId="16AF6A35" w14:textId="77777777" w:rsidR="00A27EC4" w:rsidRPr="001F3967" w:rsidRDefault="00A27EC4" w:rsidP="00A27EC4">
      <w:pPr>
        <w:spacing w:after="0" w:line="240" w:lineRule="auto"/>
        <w:ind w:left="1080"/>
        <w:jc w:val="both"/>
        <w:rPr>
          <w:rFonts w:ascii="Times New Roman" w:hAnsi="Times New Roman" w:cs="Times New Roman"/>
          <w:b/>
          <w:bCs/>
          <w:sz w:val="20"/>
          <w:szCs w:val="20"/>
        </w:rPr>
      </w:pPr>
    </w:p>
    <w:p w14:paraId="3279D46C" w14:textId="37E622A4" w:rsidR="008B6FD2" w:rsidRPr="001F3967" w:rsidRDefault="008B6FD2" w:rsidP="007D4975">
      <w:pPr>
        <w:pStyle w:val="ListParagraph"/>
        <w:numPr>
          <w:ilvl w:val="2"/>
          <w:numId w:val="3"/>
        </w:numPr>
        <w:spacing w:after="0" w:line="240" w:lineRule="auto"/>
        <w:ind w:left="567" w:firstLine="0"/>
        <w:jc w:val="both"/>
        <w:rPr>
          <w:rFonts w:ascii="Times New Roman" w:hAnsi="Times New Roman" w:cs="Times New Roman"/>
          <w:b/>
          <w:bCs/>
          <w:sz w:val="20"/>
          <w:szCs w:val="20"/>
        </w:rPr>
      </w:pPr>
      <w:r w:rsidRPr="001F3967">
        <w:rPr>
          <w:rFonts w:ascii="Times New Roman" w:hAnsi="Times New Roman" w:cs="Times New Roman"/>
          <w:b/>
          <w:bCs/>
          <w:sz w:val="20"/>
          <w:szCs w:val="20"/>
        </w:rPr>
        <w:t>Financial Sustainability</w:t>
      </w:r>
    </w:p>
    <w:p w14:paraId="260108F8" w14:textId="77777777" w:rsidR="007D4975" w:rsidRPr="001F3967" w:rsidRDefault="007D4975" w:rsidP="007D4975">
      <w:pPr>
        <w:pStyle w:val="ListParagraph"/>
        <w:spacing w:after="0" w:line="240" w:lineRule="auto"/>
        <w:ind w:left="1418"/>
        <w:jc w:val="both"/>
        <w:rPr>
          <w:rFonts w:ascii="Times New Roman" w:hAnsi="Times New Roman" w:cs="Times New Roman"/>
          <w:sz w:val="20"/>
          <w:szCs w:val="20"/>
        </w:rPr>
      </w:pPr>
      <w:r w:rsidRPr="001F3967">
        <w:rPr>
          <w:rFonts w:ascii="Times New Roman" w:hAnsi="Times New Roman" w:cs="Times New Roman"/>
          <w:sz w:val="20"/>
          <w:szCs w:val="20"/>
        </w:rPr>
        <w:t xml:space="preserve">Financial sustainability is the ability of an organization to consistently generate income sufficient to meet its operational costs and strategic investments without compromising its mission. Ormiston et al. (2015) highlight that financial </w:t>
      </w:r>
      <w:r w:rsidRPr="001F3967">
        <w:rPr>
          <w:rFonts w:ascii="Times New Roman" w:hAnsi="Times New Roman" w:cs="Times New Roman"/>
          <w:sz w:val="20"/>
          <w:szCs w:val="20"/>
        </w:rPr>
        <w:lastRenderedPageBreak/>
        <w:t>sustainability in social enterprises involves balancing commercial discipline with social value creation. In GLSEs, sustainability is often jeopardized by over-reliance on government grants or underpriced services offered for the sake of accessibility (Méndez-Picazo et al., 2021).</w:t>
      </w:r>
    </w:p>
    <w:p w14:paraId="12CBC745" w14:textId="11C8EB65" w:rsidR="007D4975" w:rsidRPr="001F3967" w:rsidRDefault="007D4975" w:rsidP="007D4975">
      <w:pPr>
        <w:pStyle w:val="ListParagraph"/>
        <w:spacing w:after="0" w:line="240" w:lineRule="auto"/>
        <w:ind w:left="1440" w:firstLine="261"/>
        <w:jc w:val="both"/>
        <w:rPr>
          <w:rFonts w:ascii="Times New Roman" w:hAnsi="Times New Roman" w:cs="Times New Roman"/>
          <w:sz w:val="20"/>
          <w:szCs w:val="20"/>
        </w:rPr>
      </w:pPr>
      <w:r w:rsidRPr="001F3967">
        <w:rPr>
          <w:rFonts w:ascii="Times New Roman" w:hAnsi="Times New Roman" w:cs="Times New Roman"/>
          <w:sz w:val="20"/>
          <w:szCs w:val="20"/>
        </w:rPr>
        <w:t xml:space="preserve">In the n context, government-linked companies (GLCs) like </w:t>
      </w:r>
      <w:r w:rsidR="00E03843" w:rsidRPr="001F3967">
        <w:rPr>
          <w:rFonts w:ascii="Times New Roman" w:hAnsi="Times New Roman" w:cs="Times New Roman"/>
          <w:sz w:val="20"/>
          <w:szCs w:val="20"/>
        </w:rPr>
        <w:t xml:space="preserve">the </w:t>
      </w:r>
      <w:r w:rsidR="00E03843" w:rsidRPr="001F3967">
        <w:rPr>
          <w:rFonts w:ascii="Times New Roman" w:hAnsi="Times New Roman" w:cs="Times New Roman"/>
          <w:iCs/>
          <w:sz w:val="20"/>
          <w:szCs w:val="20"/>
        </w:rPr>
        <w:t>n public sector agency</w:t>
      </w:r>
      <w:r w:rsidR="00E03843" w:rsidRPr="001F3967">
        <w:rPr>
          <w:rFonts w:ascii="Times New Roman" w:hAnsi="Times New Roman" w:cs="Times New Roman"/>
          <w:sz w:val="20"/>
          <w:szCs w:val="20"/>
        </w:rPr>
        <w:t xml:space="preserve">   subsidiaries</w:t>
      </w:r>
      <w:r w:rsidR="00E03843" w:rsidRPr="001F3967">
        <w:rPr>
          <w:rFonts w:ascii="Times New Roman" w:eastAsia="Batang" w:hAnsi="Times New Roman" w:cs="Times New Roman"/>
          <w:i/>
          <w:sz w:val="20"/>
          <w:szCs w:val="20"/>
          <w:lang w:eastAsia="ko-KR"/>
        </w:rPr>
        <w:t xml:space="preserve"> </w:t>
      </w:r>
      <w:r w:rsidRPr="001F3967">
        <w:rPr>
          <w:rFonts w:ascii="Times New Roman" w:hAnsi="Times New Roman" w:cs="Times New Roman"/>
          <w:sz w:val="20"/>
          <w:szCs w:val="20"/>
        </w:rPr>
        <w:t>are often subsidized but expected to evolve toward financial independence. However, studies by Ceptureanu et al. (2017) show that many social enterprises fail to achieve sustainability due to misalignment between financial strategy and operational capacity.</w:t>
      </w:r>
    </w:p>
    <w:p w14:paraId="23759B02" w14:textId="77777777" w:rsidR="00E92637" w:rsidRPr="001F3967" w:rsidRDefault="00E92637" w:rsidP="00E92637">
      <w:pPr>
        <w:spacing w:after="0" w:line="240" w:lineRule="auto"/>
        <w:jc w:val="both"/>
        <w:rPr>
          <w:rFonts w:ascii="Times New Roman" w:hAnsi="Times New Roman" w:cs="Times New Roman"/>
          <w:sz w:val="20"/>
          <w:szCs w:val="20"/>
        </w:rPr>
      </w:pPr>
    </w:p>
    <w:p w14:paraId="098D717C" w14:textId="79CD09C5" w:rsidR="008B6FD2" w:rsidRPr="001F3967" w:rsidRDefault="008B6FD2" w:rsidP="007D4975">
      <w:pPr>
        <w:pStyle w:val="ListParagraph"/>
        <w:numPr>
          <w:ilvl w:val="2"/>
          <w:numId w:val="3"/>
        </w:numPr>
        <w:spacing w:after="0" w:line="240" w:lineRule="auto"/>
        <w:ind w:left="567" w:firstLine="0"/>
        <w:jc w:val="both"/>
        <w:rPr>
          <w:rFonts w:ascii="Times New Roman" w:hAnsi="Times New Roman" w:cs="Times New Roman"/>
          <w:b/>
          <w:bCs/>
          <w:sz w:val="20"/>
          <w:szCs w:val="20"/>
        </w:rPr>
      </w:pPr>
      <w:r w:rsidRPr="001F3967">
        <w:rPr>
          <w:rFonts w:ascii="Times New Roman" w:hAnsi="Times New Roman" w:cs="Times New Roman"/>
          <w:b/>
          <w:bCs/>
          <w:sz w:val="20"/>
          <w:szCs w:val="20"/>
        </w:rPr>
        <w:t>Revenue Diversification</w:t>
      </w:r>
    </w:p>
    <w:p w14:paraId="4606201A" w14:textId="2E37FCA3" w:rsidR="007D4975" w:rsidRPr="001F3967" w:rsidRDefault="007D4975" w:rsidP="007D4975">
      <w:pPr>
        <w:pStyle w:val="ListParagraph"/>
        <w:spacing w:after="0" w:line="240" w:lineRule="auto"/>
        <w:ind w:left="1418"/>
        <w:jc w:val="both"/>
        <w:rPr>
          <w:rFonts w:ascii="Times New Roman" w:hAnsi="Times New Roman" w:cs="Times New Roman"/>
          <w:sz w:val="20"/>
          <w:szCs w:val="20"/>
        </w:rPr>
      </w:pPr>
      <w:r w:rsidRPr="001F3967">
        <w:rPr>
          <w:rFonts w:ascii="Times New Roman" w:hAnsi="Times New Roman" w:cs="Times New Roman"/>
          <w:sz w:val="20"/>
          <w:szCs w:val="20"/>
        </w:rPr>
        <w:t xml:space="preserve">Revenue diversification reduces dependency on a single income stream and enhances stability in the face of funding cuts or economic shocks. Carroll and Stater (2009) found a strong link between revenue diversity and financial health in nonprofit organizations. </w:t>
      </w:r>
      <w:r w:rsidR="00F5560D" w:rsidRPr="001F3967">
        <w:rPr>
          <w:rFonts w:ascii="Times New Roman" w:hAnsi="Times New Roman" w:cs="Times New Roman"/>
          <w:sz w:val="20"/>
          <w:szCs w:val="20"/>
        </w:rPr>
        <w:t>In,</w:t>
      </w:r>
      <w:r w:rsidRPr="001F3967">
        <w:rPr>
          <w:rFonts w:ascii="Times New Roman" w:hAnsi="Times New Roman" w:cs="Times New Roman"/>
          <w:sz w:val="20"/>
          <w:szCs w:val="20"/>
        </w:rPr>
        <w:t xml:space="preserve"> where government allocations can fluctuate with political changes, having multiple income sources is especially important for </w:t>
      </w:r>
      <w:r w:rsidR="00E03843" w:rsidRPr="001F3967">
        <w:rPr>
          <w:rFonts w:ascii="Times New Roman" w:hAnsi="Times New Roman" w:cs="Times New Roman"/>
          <w:sz w:val="20"/>
          <w:szCs w:val="20"/>
        </w:rPr>
        <w:t xml:space="preserve">the </w:t>
      </w:r>
      <w:r w:rsidRPr="001F3967">
        <w:rPr>
          <w:rFonts w:ascii="Times New Roman" w:hAnsi="Times New Roman" w:cs="Times New Roman"/>
          <w:sz w:val="20"/>
          <w:szCs w:val="20"/>
        </w:rPr>
        <w:t>subsidiaries.</w:t>
      </w:r>
    </w:p>
    <w:p w14:paraId="49FCC586" w14:textId="1CB53728" w:rsidR="007D4975" w:rsidRPr="001F3967" w:rsidRDefault="007D4975" w:rsidP="007D4975">
      <w:pPr>
        <w:pStyle w:val="ListParagraph"/>
        <w:spacing w:after="0" w:line="240" w:lineRule="auto"/>
        <w:ind w:left="1440" w:firstLine="261"/>
        <w:jc w:val="both"/>
        <w:rPr>
          <w:rFonts w:ascii="Times New Roman" w:hAnsi="Times New Roman" w:cs="Times New Roman"/>
          <w:sz w:val="20"/>
          <w:szCs w:val="20"/>
        </w:rPr>
      </w:pPr>
      <w:r w:rsidRPr="001F3967">
        <w:rPr>
          <w:rFonts w:ascii="Times New Roman" w:hAnsi="Times New Roman" w:cs="Times New Roman"/>
          <w:sz w:val="20"/>
          <w:szCs w:val="20"/>
        </w:rPr>
        <w:t>Hung and Hager (2019) suggest that strategic partnerships, private-sector collaborations, and fee-based services can strengthen resilience. Yunus et al. (2010) also advocate for innovation in financial models, including social business hybrids that generate self-sustaining revenue while serving public needs.</w:t>
      </w:r>
    </w:p>
    <w:p w14:paraId="6F11BE17" w14:textId="77777777" w:rsidR="00E92637" w:rsidRPr="001F3967" w:rsidRDefault="00E92637" w:rsidP="00E92637">
      <w:pPr>
        <w:spacing w:after="0" w:line="240" w:lineRule="auto"/>
        <w:jc w:val="both"/>
        <w:rPr>
          <w:rFonts w:ascii="Times New Roman" w:hAnsi="Times New Roman" w:cs="Times New Roman"/>
          <w:sz w:val="20"/>
          <w:szCs w:val="20"/>
        </w:rPr>
      </w:pPr>
    </w:p>
    <w:p w14:paraId="774A4CA9" w14:textId="4EA571CB" w:rsidR="008B6FD2" w:rsidRPr="001F3967" w:rsidRDefault="008B6FD2" w:rsidP="008272A5">
      <w:pPr>
        <w:pStyle w:val="ListParagraph"/>
        <w:numPr>
          <w:ilvl w:val="2"/>
          <w:numId w:val="3"/>
        </w:numPr>
        <w:spacing w:after="0" w:line="240" w:lineRule="auto"/>
        <w:ind w:left="1418" w:hanging="851"/>
        <w:jc w:val="both"/>
        <w:rPr>
          <w:rFonts w:ascii="Times New Roman" w:hAnsi="Times New Roman" w:cs="Times New Roman"/>
          <w:b/>
          <w:bCs/>
          <w:sz w:val="20"/>
          <w:szCs w:val="20"/>
        </w:rPr>
      </w:pPr>
      <w:r w:rsidRPr="001F3967">
        <w:rPr>
          <w:rFonts w:ascii="Times New Roman" w:hAnsi="Times New Roman" w:cs="Times New Roman"/>
          <w:b/>
          <w:bCs/>
          <w:sz w:val="20"/>
          <w:szCs w:val="20"/>
        </w:rPr>
        <w:t>Leadership Quality</w:t>
      </w:r>
    </w:p>
    <w:p w14:paraId="3C0B4DCA" w14:textId="6375131F" w:rsidR="007D4975" w:rsidRPr="001F3967" w:rsidRDefault="007D4975" w:rsidP="007D4975">
      <w:pPr>
        <w:pStyle w:val="ListParagraph"/>
        <w:spacing w:after="0" w:line="240" w:lineRule="auto"/>
        <w:ind w:left="1418"/>
        <w:jc w:val="both"/>
        <w:rPr>
          <w:rFonts w:ascii="Times New Roman" w:hAnsi="Times New Roman" w:cs="Times New Roman"/>
          <w:sz w:val="20"/>
          <w:szCs w:val="20"/>
        </w:rPr>
      </w:pPr>
      <w:r w:rsidRPr="001F3967">
        <w:rPr>
          <w:rFonts w:ascii="Times New Roman" w:hAnsi="Times New Roman" w:cs="Times New Roman"/>
          <w:sz w:val="20"/>
          <w:szCs w:val="20"/>
        </w:rPr>
        <w:t>Transformational leadership, characterized by vision, integrity, and adaptability, has been linked to enhanced organizational resilience (Southwick et al., 2017; Kim &amp; Mor Barak, 2015). Effective leaders in social enterprises must navigate complexity, mobilize stakeholder support, and balance often conflicting goals. In the context of public-sector organizations, however, leadership effectiveness can be constrained by bureaucratic procedures and political interference, making leadership resilience more difficult to realize.</w:t>
      </w:r>
    </w:p>
    <w:p w14:paraId="1D6B6F05" w14:textId="77777777" w:rsidR="00E92637" w:rsidRPr="001F3967" w:rsidRDefault="00E92637" w:rsidP="00E92637">
      <w:pPr>
        <w:spacing w:after="0" w:line="240" w:lineRule="auto"/>
        <w:jc w:val="both"/>
        <w:rPr>
          <w:rFonts w:ascii="Times New Roman" w:hAnsi="Times New Roman" w:cs="Times New Roman"/>
          <w:sz w:val="20"/>
          <w:szCs w:val="20"/>
        </w:rPr>
      </w:pPr>
    </w:p>
    <w:p w14:paraId="76243CDD" w14:textId="47FD30BA" w:rsidR="008B6FD2" w:rsidRPr="001F3967" w:rsidRDefault="007D4975" w:rsidP="008272A5">
      <w:pPr>
        <w:pStyle w:val="ListParagraph"/>
        <w:numPr>
          <w:ilvl w:val="2"/>
          <w:numId w:val="3"/>
        </w:numPr>
        <w:spacing w:after="0" w:line="240" w:lineRule="auto"/>
        <w:ind w:left="1418" w:hanging="851"/>
        <w:jc w:val="both"/>
        <w:rPr>
          <w:rFonts w:ascii="Times New Roman" w:hAnsi="Times New Roman" w:cs="Times New Roman"/>
          <w:b/>
          <w:bCs/>
          <w:sz w:val="20"/>
          <w:szCs w:val="20"/>
        </w:rPr>
      </w:pPr>
      <w:r w:rsidRPr="001F3967">
        <w:rPr>
          <w:rFonts w:ascii="Times New Roman" w:hAnsi="Times New Roman" w:cs="Times New Roman"/>
          <w:b/>
          <w:bCs/>
          <w:sz w:val="20"/>
          <w:szCs w:val="20"/>
        </w:rPr>
        <w:t>Organizational Capacity</w:t>
      </w:r>
    </w:p>
    <w:p w14:paraId="57431BEC" w14:textId="2F9FE911" w:rsidR="007D4975" w:rsidRPr="001F3967" w:rsidRDefault="007D4975" w:rsidP="007D4975">
      <w:pPr>
        <w:pStyle w:val="ListParagraph"/>
        <w:spacing w:after="0" w:line="240" w:lineRule="auto"/>
        <w:ind w:left="1418"/>
        <w:jc w:val="both"/>
        <w:rPr>
          <w:rFonts w:ascii="Times New Roman" w:hAnsi="Times New Roman" w:cs="Times New Roman"/>
          <w:sz w:val="20"/>
          <w:szCs w:val="20"/>
        </w:rPr>
      </w:pPr>
      <w:r w:rsidRPr="001F3967">
        <w:rPr>
          <w:rFonts w:ascii="Times New Roman" w:hAnsi="Times New Roman" w:cs="Times New Roman"/>
          <w:sz w:val="20"/>
          <w:szCs w:val="20"/>
        </w:rPr>
        <w:t>Organizational capacity refers to the infrastructure, human resources, systems, and processes that enable an organization to perform efficiently. Wright and Reames (2020) argue that capacity is one of the most underappreciated drivers of resilience, especially in the nonprofit and public sectors. Jung (2017) found that organizations with stronger internal systems are more adaptable to change and better equipped to handle crises. Maletič et al. (2014) emphasized the importance of continuous investment in staff development and technology to future-proof institutions.</w:t>
      </w:r>
    </w:p>
    <w:p w14:paraId="038AF564" w14:textId="77777777" w:rsidR="00E92637" w:rsidRPr="001F3967" w:rsidRDefault="00E92637" w:rsidP="00E92637">
      <w:pPr>
        <w:spacing w:after="0" w:line="240" w:lineRule="auto"/>
        <w:jc w:val="both"/>
        <w:rPr>
          <w:rFonts w:ascii="Times New Roman" w:hAnsi="Times New Roman" w:cs="Times New Roman"/>
          <w:sz w:val="20"/>
          <w:szCs w:val="20"/>
        </w:rPr>
      </w:pPr>
    </w:p>
    <w:p w14:paraId="18CDD33C" w14:textId="39F6CD1F" w:rsidR="007D4975" w:rsidRPr="001F3967" w:rsidRDefault="007D4975" w:rsidP="008272A5">
      <w:pPr>
        <w:pStyle w:val="ListParagraph"/>
        <w:numPr>
          <w:ilvl w:val="2"/>
          <w:numId w:val="3"/>
        </w:numPr>
        <w:spacing w:after="0" w:line="240" w:lineRule="auto"/>
        <w:ind w:left="1418" w:hanging="851"/>
        <w:jc w:val="both"/>
        <w:rPr>
          <w:rFonts w:ascii="Times New Roman" w:hAnsi="Times New Roman" w:cs="Times New Roman"/>
          <w:b/>
          <w:bCs/>
          <w:sz w:val="20"/>
          <w:szCs w:val="20"/>
        </w:rPr>
      </w:pPr>
      <w:r w:rsidRPr="001F3967">
        <w:rPr>
          <w:rFonts w:ascii="Times New Roman" w:hAnsi="Times New Roman" w:cs="Times New Roman"/>
          <w:b/>
          <w:bCs/>
          <w:sz w:val="20"/>
          <w:szCs w:val="20"/>
        </w:rPr>
        <w:t>Market Demand</w:t>
      </w:r>
    </w:p>
    <w:p w14:paraId="601C9AFE" w14:textId="37DA3CCB" w:rsidR="007D4975" w:rsidRPr="001F3967" w:rsidRDefault="007D4975" w:rsidP="007D4975">
      <w:pPr>
        <w:pStyle w:val="ListParagraph"/>
        <w:spacing w:after="0" w:line="240" w:lineRule="auto"/>
        <w:ind w:left="1418"/>
        <w:jc w:val="both"/>
        <w:rPr>
          <w:rFonts w:ascii="Times New Roman" w:hAnsi="Times New Roman" w:cs="Times New Roman"/>
          <w:sz w:val="20"/>
          <w:szCs w:val="20"/>
        </w:rPr>
      </w:pPr>
      <w:r w:rsidRPr="001F3967">
        <w:rPr>
          <w:rFonts w:ascii="Times New Roman" w:hAnsi="Times New Roman" w:cs="Times New Roman"/>
          <w:sz w:val="20"/>
          <w:szCs w:val="20"/>
        </w:rPr>
        <w:t xml:space="preserve">Alignment with market demand enhances an organization’s relevance and income potential. Yunus et al. (2010) highlight how social enterprises like Grameen Bank succeeded by designing products that met real needs. </w:t>
      </w:r>
      <w:proofErr w:type="gramStart"/>
      <w:r w:rsidRPr="001F3967">
        <w:rPr>
          <w:rFonts w:ascii="Times New Roman" w:hAnsi="Times New Roman" w:cs="Times New Roman"/>
          <w:sz w:val="20"/>
          <w:szCs w:val="20"/>
        </w:rPr>
        <w:t>In ,</w:t>
      </w:r>
      <w:proofErr w:type="gramEnd"/>
      <w:r w:rsidRPr="001F3967">
        <w:rPr>
          <w:rFonts w:ascii="Times New Roman" w:hAnsi="Times New Roman" w:cs="Times New Roman"/>
          <w:sz w:val="20"/>
          <w:szCs w:val="20"/>
        </w:rPr>
        <w:t xml:space="preserve"> market responsiveness is increasingly crucial, especially as public sentiments shift toward value-for-money services. However, </w:t>
      </w:r>
      <w:r w:rsidR="00E03843" w:rsidRPr="001F3967">
        <w:rPr>
          <w:rFonts w:ascii="Times New Roman" w:hAnsi="Times New Roman" w:cs="Times New Roman"/>
          <w:sz w:val="20"/>
          <w:szCs w:val="20"/>
        </w:rPr>
        <w:t xml:space="preserve">the </w:t>
      </w:r>
      <w:r w:rsidRPr="001F3967">
        <w:rPr>
          <w:rFonts w:ascii="Times New Roman" w:hAnsi="Times New Roman" w:cs="Times New Roman"/>
          <w:sz w:val="20"/>
          <w:szCs w:val="20"/>
        </w:rPr>
        <w:t>subsidiaries often face challenges in pivoting due to rigid operational models and regulatory oversight.</w:t>
      </w:r>
    </w:p>
    <w:p w14:paraId="7A319982" w14:textId="4A5B084B" w:rsidR="008B6FD2" w:rsidRPr="001F3967" w:rsidRDefault="007D4975" w:rsidP="007D4975">
      <w:pPr>
        <w:pStyle w:val="ListParagraph"/>
        <w:spacing w:after="0" w:line="240" w:lineRule="auto"/>
        <w:ind w:left="1440" w:firstLine="261"/>
        <w:jc w:val="both"/>
        <w:rPr>
          <w:rFonts w:ascii="Times New Roman" w:hAnsi="Times New Roman" w:cs="Times New Roman"/>
          <w:sz w:val="20"/>
          <w:szCs w:val="20"/>
        </w:rPr>
      </w:pPr>
      <w:r w:rsidRPr="001F3967">
        <w:rPr>
          <w:rFonts w:ascii="Times New Roman" w:hAnsi="Times New Roman" w:cs="Times New Roman"/>
          <w:sz w:val="20"/>
          <w:szCs w:val="20"/>
        </w:rPr>
        <w:t>Despite recognition of these five key factors, the interplay between them</w:t>
      </w:r>
      <w:r w:rsidR="00E03843" w:rsidRPr="001F3967">
        <w:rPr>
          <w:rFonts w:ascii="Times New Roman" w:hAnsi="Times New Roman" w:cs="Times New Roman"/>
          <w:sz w:val="20"/>
          <w:szCs w:val="20"/>
        </w:rPr>
        <w:t xml:space="preserve">, </w:t>
      </w:r>
      <w:r w:rsidRPr="001F3967">
        <w:rPr>
          <w:rFonts w:ascii="Times New Roman" w:hAnsi="Times New Roman" w:cs="Times New Roman"/>
          <w:sz w:val="20"/>
          <w:szCs w:val="20"/>
        </w:rPr>
        <w:t xml:space="preserve">particularly in the context of a n GLSE </w:t>
      </w:r>
      <w:r w:rsidR="00E03843" w:rsidRPr="001F3967">
        <w:rPr>
          <w:rFonts w:ascii="Times New Roman" w:hAnsi="Times New Roman" w:cs="Times New Roman"/>
          <w:sz w:val="20"/>
          <w:szCs w:val="20"/>
        </w:rPr>
        <w:t xml:space="preserve">which </w:t>
      </w:r>
      <w:r w:rsidRPr="001F3967">
        <w:rPr>
          <w:rFonts w:ascii="Times New Roman" w:hAnsi="Times New Roman" w:cs="Times New Roman"/>
          <w:sz w:val="20"/>
          <w:szCs w:val="20"/>
        </w:rPr>
        <w:t>remains underexplored. This study seeks to bridge this gap.</w:t>
      </w:r>
    </w:p>
    <w:p w14:paraId="1A559CC3" w14:textId="1CEF7061" w:rsidR="008B6FD2" w:rsidRDefault="008B6FD2" w:rsidP="008B6FD2">
      <w:pPr>
        <w:spacing w:after="0" w:line="240" w:lineRule="auto"/>
        <w:jc w:val="both"/>
        <w:rPr>
          <w:rFonts w:ascii="Times New Roman" w:hAnsi="Times New Roman" w:cs="Times New Roman"/>
          <w:b/>
          <w:bCs/>
          <w:sz w:val="20"/>
          <w:szCs w:val="20"/>
        </w:rPr>
      </w:pPr>
    </w:p>
    <w:p w14:paraId="28B6F7BB" w14:textId="0E4A8725" w:rsidR="001F3967" w:rsidRDefault="001F3967" w:rsidP="008B6FD2">
      <w:pPr>
        <w:spacing w:after="0" w:line="240" w:lineRule="auto"/>
        <w:jc w:val="both"/>
        <w:rPr>
          <w:rFonts w:ascii="Times New Roman" w:hAnsi="Times New Roman" w:cs="Times New Roman"/>
          <w:b/>
          <w:bCs/>
          <w:sz w:val="20"/>
          <w:szCs w:val="20"/>
        </w:rPr>
      </w:pPr>
    </w:p>
    <w:p w14:paraId="5C2F517C" w14:textId="77777777" w:rsidR="001F3967" w:rsidRPr="001F3967" w:rsidRDefault="001F3967" w:rsidP="008B6FD2">
      <w:pPr>
        <w:spacing w:after="0" w:line="240" w:lineRule="auto"/>
        <w:jc w:val="both"/>
        <w:rPr>
          <w:rFonts w:ascii="Times New Roman" w:hAnsi="Times New Roman" w:cs="Times New Roman"/>
          <w:b/>
          <w:bCs/>
          <w:sz w:val="20"/>
          <w:szCs w:val="20"/>
        </w:rPr>
      </w:pPr>
    </w:p>
    <w:p w14:paraId="41A9F130" w14:textId="712B75DB" w:rsidR="00C34E7B" w:rsidRPr="001F3967" w:rsidRDefault="00C34E7B" w:rsidP="00A27EC4">
      <w:pPr>
        <w:spacing w:after="0" w:line="240" w:lineRule="auto"/>
        <w:jc w:val="both"/>
        <w:rPr>
          <w:rFonts w:ascii="Times New Roman" w:hAnsi="Times New Roman" w:cs="Times New Roman"/>
          <w:b/>
          <w:bCs/>
          <w:sz w:val="20"/>
          <w:szCs w:val="20"/>
        </w:rPr>
      </w:pPr>
      <w:r w:rsidRPr="001F3967">
        <w:rPr>
          <w:rFonts w:ascii="Times New Roman" w:hAnsi="Times New Roman" w:cs="Times New Roman"/>
          <w:b/>
          <w:bCs/>
          <w:sz w:val="20"/>
          <w:szCs w:val="20"/>
        </w:rPr>
        <w:lastRenderedPageBreak/>
        <w:t>2.4</w:t>
      </w:r>
      <w:r w:rsidRPr="001F3967">
        <w:rPr>
          <w:rFonts w:ascii="Times New Roman" w:hAnsi="Times New Roman" w:cs="Times New Roman"/>
          <w:b/>
          <w:bCs/>
          <w:sz w:val="20"/>
          <w:szCs w:val="20"/>
        </w:rPr>
        <w:tab/>
        <w:t>Research Gaps</w:t>
      </w:r>
      <w:r w:rsidR="0043193C" w:rsidRPr="001F3967">
        <w:rPr>
          <w:rFonts w:ascii="Times New Roman" w:hAnsi="Times New Roman" w:cs="Times New Roman"/>
          <w:b/>
          <w:bCs/>
          <w:sz w:val="20"/>
          <w:szCs w:val="20"/>
        </w:rPr>
        <w:t xml:space="preserve"> </w:t>
      </w:r>
      <w:r w:rsidRPr="001F3967">
        <w:rPr>
          <w:rFonts w:ascii="Times New Roman" w:hAnsi="Times New Roman" w:cs="Times New Roman"/>
          <w:b/>
          <w:bCs/>
          <w:sz w:val="20"/>
          <w:szCs w:val="20"/>
        </w:rPr>
        <w:t>/</w:t>
      </w:r>
      <w:r w:rsidR="0043193C" w:rsidRPr="001F3967">
        <w:rPr>
          <w:rFonts w:ascii="Times New Roman" w:hAnsi="Times New Roman" w:cs="Times New Roman"/>
          <w:b/>
          <w:bCs/>
          <w:sz w:val="20"/>
          <w:szCs w:val="20"/>
        </w:rPr>
        <w:t xml:space="preserve"> </w:t>
      </w:r>
      <w:r w:rsidRPr="001F3967">
        <w:rPr>
          <w:rFonts w:ascii="Times New Roman" w:hAnsi="Times New Roman" w:cs="Times New Roman"/>
          <w:b/>
          <w:bCs/>
          <w:sz w:val="20"/>
          <w:szCs w:val="20"/>
        </w:rPr>
        <w:t>Problem Statement</w:t>
      </w:r>
    </w:p>
    <w:p w14:paraId="17D1F480" w14:textId="77777777" w:rsidR="00A27EC4" w:rsidRPr="001F3967" w:rsidRDefault="00A27EC4" w:rsidP="00A27EC4">
      <w:pPr>
        <w:spacing w:after="0" w:line="240" w:lineRule="auto"/>
        <w:jc w:val="both"/>
        <w:rPr>
          <w:rFonts w:ascii="Times New Roman" w:hAnsi="Times New Roman" w:cs="Times New Roman"/>
          <w:sz w:val="20"/>
          <w:szCs w:val="20"/>
        </w:rPr>
      </w:pPr>
    </w:p>
    <w:bookmarkEnd w:id="2"/>
    <w:p w14:paraId="1348B2A2" w14:textId="215A0934" w:rsidR="007D4975" w:rsidRPr="001F3967" w:rsidRDefault="007D4975" w:rsidP="007D4975">
      <w:pPr>
        <w:spacing w:after="0" w:line="240" w:lineRule="auto"/>
        <w:jc w:val="both"/>
        <w:rPr>
          <w:rFonts w:ascii="Times New Roman" w:hAnsi="Times New Roman" w:cs="Times New Roman"/>
          <w:sz w:val="20"/>
          <w:szCs w:val="20"/>
        </w:rPr>
      </w:pPr>
      <w:r w:rsidRPr="001F3967">
        <w:rPr>
          <w:rFonts w:ascii="Times New Roman" w:hAnsi="Times New Roman" w:cs="Times New Roman"/>
          <w:sz w:val="20"/>
          <w:szCs w:val="20"/>
        </w:rPr>
        <w:t>While the literature provides a solid foundation for understanding resilience in social enterprises and nonprofit organizations, few empirical studies have examined these dynamics within the n context. Specifically, there is limited research on the internal organizational factors that drive resilience among government-linked subsidiaries that function as social enterprises.</w:t>
      </w:r>
    </w:p>
    <w:p w14:paraId="124A3A61" w14:textId="5D5CEA63" w:rsidR="007D4975" w:rsidRPr="001F3967" w:rsidRDefault="007D4975" w:rsidP="007D4975">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 xml:space="preserve">Much of the existing literature is Western-centric, focusing on NGOs or social businesses that operate in liberalized economies. These models do not fully account for the hybrid governance structures, political influences, and unique stakeholder configurations found in n institutions like </w:t>
      </w:r>
      <w:r w:rsidR="00E03843" w:rsidRPr="001F3967">
        <w:rPr>
          <w:rFonts w:ascii="Times New Roman" w:hAnsi="Times New Roman" w:cs="Times New Roman"/>
          <w:sz w:val="20"/>
          <w:szCs w:val="20"/>
        </w:rPr>
        <w:t>the</w:t>
      </w:r>
      <w:r w:rsidR="00E03843" w:rsidRPr="001F3967">
        <w:rPr>
          <w:rFonts w:ascii="Times New Roman" w:eastAsia="Batang" w:hAnsi="Times New Roman" w:cs="Times New Roman"/>
          <w:i/>
          <w:sz w:val="20"/>
          <w:szCs w:val="20"/>
          <w:lang w:eastAsia="ko-KR"/>
        </w:rPr>
        <w:t xml:space="preserve"> </w:t>
      </w:r>
      <w:r w:rsidR="00E03843" w:rsidRPr="001F3967">
        <w:rPr>
          <w:rFonts w:ascii="Times New Roman" w:hAnsi="Times New Roman" w:cs="Times New Roman"/>
          <w:iCs/>
          <w:sz w:val="20"/>
          <w:szCs w:val="20"/>
        </w:rPr>
        <w:t>n public sector agency</w:t>
      </w:r>
      <w:r w:rsidR="00E03843" w:rsidRPr="001F3967">
        <w:rPr>
          <w:rFonts w:ascii="Times New Roman" w:hAnsi="Times New Roman" w:cs="Times New Roman"/>
          <w:sz w:val="20"/>
          <w:szCs w:val="20"/>
        </w:rPr>
        <w:t xml:space="preserve"> subsidiaries.</w:t>
      </w:r>
    </w:p>
    <w:p w14:paraId="70D77414" w14:textId="6EC19C66" w:rsidR="007D4975" w:rsidRPr="001F3967" w:rsidRDefault="007D4975" w:rsidP="007D4975">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 xml:space="preserve">Additionally, studies often examine these factors in isolation. For example, revenue diversification is studied as a financial strategy, while leadership is treated as a cultural or psychological variable. There is a lack of integrated models that assess how these factors collectively influence resilience. This fragmented view is insufficient for understanding the complex operational realities of </w:t>
      </w:r>
      <w:r w:rsidR="00E03843" w:rsidRPr="001F3967">
        <w:rPr>
          <w:rFonts w:ascii="Times New Roman" w:hAnsi="Times New Roman" w:cs="Times New Roman"/>
          <w:sz w:val="20"/>
          <w:szCs w:val="20"/>
        </w:rPr>
        <w:t xml:space="preserve">the </w:t>
      </w:r>
      <w:r w:rsidRPr="001F3967">
        <w:rPr>
          <w:rFonts w:ascii="Times New Roman" w:hAnsi="Times New Roman" w:cs="Times New Roman"/>
          <w:sz w:val="20"/>
          <w:szCs w:val="20"/>
        </w:rPr>
        <w:t>subsidiaries.</w:t>
      </w:r>
    </w:p>
    <w:p w14:paraId="6F015223" w14:textId="1E55E0FC" w:rsidR="00E03843" w:rsidRPr="001F3967" w:rsidRDefault="007D4975" w:rsidP="001F3967">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Therefore, this research proposes a unified model that tests the relationship between five organizational variables and resilience. It seeks to provide both theoretical advancement and practical guidance for policymakers, managers, and scholars interested in strengthening GLSEs.</w:t>
      </w:r>
    </w:p>
    <w:p w14:paraId="754494F1" w14:textId="77777777" w:rsidR="00E03843" w:rsidRPr="001F3967" w:rsidRDefault="00E03843" w:rsidP="007D4975">
      <w:pPr>
        <w:spacing w:after="0" w:line="240" w:lineRule="auto"/>
        <w:ind w:firstLine="284"/>
        <w:jc w:val="both"/>
        <w:rPr>
          <w:rFonts w:ascii="Times New Roman" w:hAnsi="Times New Roman" w:cs="Times New Roman"/>
          <w:b/>
          <w:bCs/>
          <w:sz w:val="20"/>
          <w:szCs w:val="20"/>
        </w:rPr>
      </w:pPr>
    </w:p>
    <w:p w14:paraId="74A0D6ED" w14:textId="44C01871" w:rsidR="00C34E7B" w:rsidRPr="001F3967" w:rsidRDefault="00C34E7B" w:rsidP="00A27EC4">
      <w:pPr>
        <w:spacing w:after="0" w:line="240" w:lineRule="auto"/>
        <w:jc w:val="both"/>
        <w:rPr>
          <w:rFonts w:ascii="Times New Roman" w:hAnsi="Times New Roman" w:cs="Times New Roman"/>
          <w:b/>
          <w:bCs/>
          <w:sz w:val="20"/>
          <w:szCs w:val="20"/>
        </w:rPr>
      </w:pPr>
      <w:r w:rsidRPr="001F3967">
        <w:rPr>
          <w:rFonts w:ascii="Times New Roman" w:hAnsi="Times New Roman" w:cs="Times New Roman"/>
          <w:b/>
          <w:bCs/>
          <w:sz w:val="20"/>
          <w:szCs w:val="20"/>
        </w:rPr>
        <w:t>2.</w:t>
      </w:r>
      <w:r w:rsidR="00116A6A" w:rsidRPr="001F3967">
        <w:rPr>
          <w:rFonts w:ascii="Times New Roman" w:hAnsi="Times New Roman" w:cs="Times New Roman"/>
          <w:b/>
          <w:bCs/>
          <w:sz w:val="20"/>
          <w:szCs w:val="20"/>
        </w:rPr>
        <w:t>5</w:t>
      </w:r>
      <w:r w:rsidRPr="001F3967">
        <w:rPr>
          <w:rFonts w:ascii="Times New Roman" w:hAnsi="Times New Roman" w:cs="Times New Roman"/>
          <w:b/>
          <w:bCs/>
          <w:sz w:val="20"/>
          <w:szCs w:val="20"/>
        </w:rPr>
        <w:tab/>
        <w:t>Conclusion of the Literature Review</w:t>
      </w:r>
    </w:p>
    <w:p w14:paraId="75227102" w14:textId="77777777" w:rsidR="00A27EC4" w:rsidRPr="001F3967" w:rsidRDefault="00A27EC4" w:rsidP="007D4975">
      <w:pPr>
        <w:spacing w:after="0" w:line="240" w:lineRule="auto"/>
        <w:jc w:val="both"/>
        <w:rPr>
          <w:rFonts w:ascii="Times New Roman" w:hAnsi="Times New Roman" w:cs="Times New Roman"/>
          <w:sz w:val="20"/>
          <w:szCs w:val="20"/>
        </w:rPr>
      </w:pPr>
    </w:p>
    <w:p w14:paraId="087C7DAF" w14:textId="5098B267" w:rsidR="007D4975" w:rsidRPr="001F3967" w:rsidRDefault="007D4975" w:rsidP="007D4975">
      <w:pPr>
        <w:spacing w:after="0" w:line="240" w:lineRule="auto"/>
        <w:jc w:val="both"/>
        <w:rPr>
          <w:rFonts w:ascii="Times New Roman" w:hAnsi="Times New Roman" w:cs="Times New Roman"/>
          <w:sz w:val="20"/>
          <w:szCs w:val="20"/>
        </w:rPr>
      </w:pPr>
      <w:r w:rsidRPr="001F3967">
        <w:rPr>
          <w:rFonts w:ascii="Times New Roman" w:hAnsi="Times New Roman" w:cs="Times New Roman"/>
          <w:sz w:val="20"/>
          <w:szCs w:val="20"/>
        </w:rPr>
        <w:t xml:space="preserve">In summary, organizational resilience is a multi-faceted construct that includes financial, structural, strategic, and relational dimensions. For government-linked social enterprises like </w:t>
      </w:r>
      <w:r w:rsidR="00E03843" w:rsidRPr="001F3967">
        <w:rPr>
          <w:rFonts w:ascii="Times New Roman" w:hAnsi="Times New Roman" w:cs="Times New Roman"/>
          <w:sz w:val="20"/>
          <w:szCs w:val="20"/>
        </w:rPr>
        <w:t xml:space="preserve">the </w:t>
      </w:r>
      <w:r w:rsidR="00E03843" w:rsidRPr="001F3967">
        <w:rPr>
          <w:rFonts w:ascii="Times New Roman" w:hAnsi="Times New Roman" w:cs="Times New Roman"/>
          <w:iCs/>
          <w:sz w:val="20"/>
          <w:szCs w:val="20"/>
        </w:rPr>
        <w:t>n public sector agency</w:t>
      </w:r>
      <w:r w:rsidR="00E03843" w:rsidRPr="001F3967">
        <w:rPr>
          <w:rFonts w:ascii="Times New Roman" w:hAnsi="Times New Roman" w:cs="Times New Roman"/>
          <w:i/>
          <w:sz w:val="20"/>
          <w:szCs w:val="20"/>
        </w:rPr>
        <w:t xml:space="preserve"> </w:t>
      </w:r>
      <w:r w:rsidRPr="001F3967">
        <w:rPr>
          <w:rFonts w:ascii="Times New Roman" w:hAnsi="Times New Roman" w:cs="Times New Roman"/>
          <w:sz w:val="20"/>
          <w:szCs w:val="20"/>
        </w:rPr>
        <w:t>subsidiaries, resilience is not merely about survival; it is about fulfilling public missions in an efficient, accountable, and sustainable manner.</w:t>
      </w:r>
    </w:p>
    <w:p w14:paraId="16116F42" w14:textId="0D00FC7A" w:rsidR="007D4975" w:rsidRPr="001F3967" w:rsidRDefault="007D4975" w:rsidP="007D4975">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The literature underscores the importance of financial sustainability, revenue diversification, leadership, capacity building, and market alignment. However, empirical research integrating these variables within a single analytical framework is sparse especially in the n public sector.</w:t>
      </w:r>
    </w:p>
    <w:p w14:paraId="5935EC06" w14:textId="6F67C9FC" w:rsidR="00C34E7B" w:rsidRPr="001F3967" w:rsidRDefault="007D4975" w:rsidP="007D4975">
      <w:pPr>
        <w:spacing w:after="0" w:line="240" w:lineRule="auto"/>
        <w:ind w:firstLine="284"/>
        <w:jc w:val="both"/>
        <w:rPr>
          <w:rFonts w:ascii="Times New Roman" w:eastAsiaTheme="majorEastAsia" w:hAnsi="Times New Roman" w:cs="Times New Roman"/>
          <w:b/>
          <w:bCs/>
          <w:sz w:val="20"/>
          <w:szCs w:val="20"/>
        </w:rPr>
      </w:pPr>
      <w:r w:rsidRPr="001F3967">
        <w:rPr>
          <w:rFonts w:ascii="Times New Roman" w:hAnsi="Times New Roman" w:cs="Times New Roman"/>
          <w:sz w:val="20"/>
          <w:szCs w:val="20"/>
        </w:rPr>
        <w:t xml:space="preserve">This study responds to that gap by proposing a conceptual model grounded in the TBL, RBV, and Stakeholder Theory to examine the determinants of resilience among </w:t>
      </w:r>
      <w:r w:rsidR="00E03843" w:rsidRPr="001F3967">
        <w:rPr>
          <w:rFonts w:ascii="Times New Roman" w:hAnsi="Times New Roman" w:cs="Times New Roman"/>
          <w:sz w:val="20"/>
          <w:szCs w:val="20"/>
        </w:rPr>
        <w:t xml:space="preserve">the </w:t>
      </w:r>
      <w:r w:rsidRPr="001F3967">
        <w:rPr>
          <w:rFonts w:ascii="Times New Roman" w:hAnsi="Times New Roman" w:cs="Times New Roman"/>
          <w:sz w:val="20"/>
          <w:szCs w:val="20"/>
        </w:rPr>
        <w:t>subsidiaries. The next section outlines the research methodology used to operationalize this model.</w:t>
      </w:r>
    </w:p>
    <w:p w14:paraId="202BB2D9" w14:textId="77777777" w:rsidR="00396451" w:rsidRPr="001F3967" w:rsidRDefault="00396451" w:rsidP="00A27EC4">
      <w:pPr>
        <w:spacing w:after="0" w:line="240" w:lineRule="auto"/>
        <w:rPr>
          <w:rFonts w:ascii="Times New Roman" w:eastAsiaTheme="majorEastAsia" w:hAnsi="Times New Roman" w:cs="Times New Roman"/>
          <w:b/>
          <w:bCs/>
          <w:sz w:val="20"/>
          <w:szCs w:val="20"/>
        </w:rPr>
      </w:pPr>
    </w:p>
    <w:p w14:paraId="158FD01F" w14:textId="0C06746F" w:rsidR="007D4975" w:rsidRPr="001F3967" w:rsidRDefault="00C81270" w:rsidP="007D4975">
      <w:pPr>
        <w:pStyle w:val="HeaderL1"/>
        <w:ind w:left="567" w:hanging="567"/>
        <w:rPr>
          <w:rFonts w:ascii="Times New Roman" w:hAnsi="Times New Roman" w:cs="Times New Roman"/>
          <w:sz w:val="20"/>
          <w:szCs w:val="20"/>
        </w:rPr>
      </w:pPr>
      <w:r w:rsidRPr="001F3967">
        <w:rPr>
          <w:rFonts w:ascii="Times New Roman" w:hAnsi="Times New Roman" w:cs="Times New Roman"/>
          <w:sz w:val="20"/>
          <w:szCs w:val="20"/>
        </w:rPr>
        <w:t>RESEARCH METHODOLOGY</w:t>
      </w:r>
      <w:r w:rsidR="00442986" w:rsidRPr="001F3967">
        <w:rPr>
          <w:rFonts w:ascii="Times New Roman" w:hAnsi="Times New Roman" w:cs="Times New Roman"/>
          <w:sz w:val="20"/>
          <w:szCs w:val="20"/>
          <w:lang w:val="ms-MY"/>
        </w:rPr>
        <w:t xml:space="preserve"> </w:t>
      </w:r>
    </w:p>
    <w:p w14:paraId="2A413704" w14:textId="19DEDB4D" w:rsidR="00D50C5E" w:rsidRPr="001F3967" w:rsidRDefault="0004224D" w:rsidP="007D4975">
      <w:pPr>
        <w:pStyle w:val="HeaderL1"/>
        <w:numPr>
          <w:ilvl w:val="0"/>
          <w:numId w:val="0"/>
        </w:numPr>
        <w:rPr>
          <w:rFonts w:ascii="Times New Roman" w:hAnsi="Times New Roman" w:cs="Times New Roman"/>
          <w:sz w:val="20"/>
          <w:szCs w:val="20"/>
        </w:rPr>
      </w:pPr>
      <w:r w:rsidRPr="001F3967">
        <w:rPr>
          <w:rFonts w:ascii="Times New Roman" w:hAnsi="Times New Roman" w:cs="Times New Roman"/>
          <w:sz w:val="20"/>
          <w:szCs w:val="20"/>
        </w:rPr>
        <w:t xml:space="preserve"> </w:t>
      </w:r>
    </w:p>
    <w:p w14:paraId="6FAAB2AF" w14:textId="681222C2" w:rsidR="00D93992" w:rsidRPr="001F3967" w:rsidRDefault="00D93992" w:rsidP="00A27EC4">
      <w:pPr>
        <w:spacing w:after="0" w:line="240" w:lineRule="auto"/>
        <w:jc w:val="both"/>
        <w:rPr>
          <w:rFonts w:ascii="Times New Roman" w:hAnsi="Times New Roman" w:cs="Times New Roman"/>
          <w:b/>
          <w:bCs/>
          <w:sz w:val="20"/>
          <w:szCs w:val="20"/>
        </w:rPr>
      </w:pPr>
      <w:r w:rsidRPr="001F3967">
        <w:rPr>
          <w:rFonts w:ascii="Times New Roman" w:hAnsi="Times New Roman" w:cs="Times New Roman"/>
          <w:b/>
          <w:bCs/>
          <w:sz w:val="20"/>
          <w:szCs w:val="20"/>
        </w:rPr>
        <w:t>Introduction to Methodology</w:t>
      </w:r>
    </w:p>
    <w:p w14:paraId="58C9B792" w14:textId="77777777" w:rsidR="00A27EC4" w:rsidRPr="001F3967" w:rsidRDefault="00A27EC4" w:rsidP="00A27EC4">
      <w:pPr>
        <w:spacing w:after="0" w:line="240" w:lineRule="auto"/>
        <w:jc w:val="both"/>
        <w:rPr>
          <w:rFonts w:ascii="Times New Roman" w:hAnsi="Times New Roman" w:cs="Times New Roman"/>
          <w:b/>
          <w:bCs/>
          <w:sz w:val="20"/>
          <w:szCs w:val="20"/>
        </w:rPr>
      </w:pPr>
    </w:p>
    <w:p w14:paraId="4AA22036" w14:textId="79E28CBD" w:rsidR="007D4975" w:rsidRPr="001F3967" w:rsidRDefault="007D4975" w:rsidP="007D4975">
      <w:pPr>
        <w:spacing w:after="0" w:line="240" w:lineRule="auto"/>
        <w:jc w:val="both"/>
        <w:rPr>
          <w:rFonts w:ascii="Times New Roman" w:hAnsi="Times New Roman" w:cs="Times New Roman"/>
          <w:sz w:val="20"/>
          <w:szCs w:val="20"/>
        </w:rPr>
      </w:pPr>
      <w:r w:rsidRPr="001F3967">
        <w:rPr>
          <w:rFonts w:ascii="Times New Roman" w:hAnsi="Times New Roman" w:cs="Times New Roman"/>
          <w:sz w:val="20"/>
          <w:szCs w:val="20"/>
        </w:rPr>
        <w:t xml:space="preserve">This section presents the methodological approach used to investigate the key internal organizational factors that influence financial resilience among subsidiaries of </w:t>
      </w:r>
      <w:r w:rsidR="00CB5FC7" w:rsidRPr="001F3967">
        <w:rPr>
          <w:rFonts w:ascii="Times New Roman" w:hAnsi="Times New Roman" w:cs="Times New Roman"/>
          <w:sz w:val="20"/>
          <w:szCs w:val="20"/>
        </w:rPr>
        <w:t>Subsidiaries in n public sector agency</w:t>
      </w:r>
      <w:r w:rsidRPr="001F3967">
        <w:rPr>
          <w:rFonts w:ascii="Times New Roman" w:hAnsi="Times New Roman" w:cs="Times New Roman"/>
          <w:sz w:val="20"/>
          <w:szCs w:val="20"/>
        </w:rPr>
        <w:t>. The study adopts a positivist paradigm using quantitative techniques to ensure objectivity, generalizability, and replicability. It follows a deductive reasoning process, beginning with theoretical models and testing them using empirical data.</w:t>
      </w:r>
    </w:p>
    <w:p w14:paraId="721E85B6" w14:textId="130CAF55" w:rsidR="00A27EC4" w:rsidRPr="001F3967" w:rsidRDefault="007D4975" w:rsidP="007D4975">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 xml:space="preserve">The research design incorporates both descriptive and explanatory objectives. Descriptive elements help profile </w:t>
      </w:r>
      <w:r w:rsidR="00CB5FC7" w:rsidRPr="001F3967">
        <w:rPr>
          <w:rFonts w:ascii="Times New Roman" w:hAnsi="Times New Roman" w:cs="Times New Roman"/>
          <w:sz w:val="20"/>
          <w:szCs w:val="20"/>
        </w:rPr>
        <w:t xml:space="preserve">the subsidiaries </w:t>
      </w:r>
      <w:r w:rsidRPr="001F3967">
        <w:rPr>
          <w:rFonts w:ascii="Times New Roman" w:hAnsi="Times New Roman" w:cs="Times New Roman"/>
          <w:sz w:val="20"/>
          <w:szCs w:val="20"/>
        </w:rPr>
        <w:t>and respondents involved, while the explanatory dimension focuses on the causal relationship between selected independent variables and the dependent variable: organizational resilience. The methodology includes clearly defined sampling procedures, data collection tools, analytical techniques, and reliability assessments, all of which contribute to the robustness of the study.</w:t>
      </w:r>
    </w:p>
    <w:p w14:paraId="4B2738BF" w14:textId="77777777" w:rsidR="007D4975" w:rsidRPr="001F3967" w:rsidRDefault="007D4975" w:rsidP="007D4975">
      <w:pPr>
        <w:spacing w:after="0" w:line="240" w:lineRule="auto"/>
        <w:ind w:firstLine="284"/>
        <w:jc w:val="both"/>
        <w:rPr>
          <w:rFonts w:ascii="Times New Roman" w:hAnsi="Times New Roman" w:cs="Times New Roman"/>
          <w:b/>
          <w:bCs/>
          <w:sz w:val="20"/>
          <w:szCs w:val="20"/>
        </w:rPr>
      </w:pPr>
    </w:p>
    <w:p w14:paraId="613E597D" w14:textId="425C831B" w:rsidR="00D93992" w:rsidRPr="001F3967" w:rsidRDefault="00D93992" w:rsidP="00A27EC4">
      <w:pPr>
        <w:spacing w:after="0" w:line="240" w:lineRule="auto"/>
        <w:jc w:val="both"/>
        <w:rPr>
          <w:rFonts w:ascii="Times New Roman" w:hAnsi="Times New Roman" w:cs="Times New Roman"/>
          <w:b/>
          <w:bCs/>
          <w:sz w:val="20"/>
          <w:szCs w:val="20"/>
        </w:rPr>
      </w:pPr>
      <w:r w:rsidRPr="001F3967">
        <w:rPr>
          <w:rFonts w:ascii="Times New Roman" w:hAnsi="Times New Roman" w:cs="Times New Roman"/>
          <w:b/>
          <w:bCs/>
          <w:sz w:val="20"/>
          <w:szCs w:val="20"/>
        </w:rPr>
        <w:t>3.1</w:t>
      </w:r>
      <w:r w:rsidRPr="001F3967">
        <w:rPr>
          <w:rFonts w:ascii="Times New Roman" w:hAnsi="Times New Roman" w:cs="Times New Roman"/>
          <w:b/>
          <w:bCs/>
          <w:sz w:val="20"/>
          <w:szCs w:val="20"/>
        </w:rPr>
        <w:tab/>
        <w:t>Research Design</w:t>
      </w:r>
    </w:p>
    <w:p w14:paraId="4EED060E" w14:textId="77777777" w:rsidR="00A27EC4" w:rsidRPr="001F3967" w:rsidRDefault="00A27EC4" w:rsidP="00A27EC4">
      <w:pPr>
        <w:spacing w:after="0" w:line="240" w:lineRule="auto"/>
        <w:jc w:val="both"/>
        <w:rPr>
          <w:rFonts w:ascii="Times New Roman" w:hAnsi="Times New Roman" w:cs="Times New Roman"/>
          <w:sz w:val="20"/>
          <w:szCs w:val="20"/>
        </w:rPr>
      </w:pPr>
    </w:p>
    <w:p w14:paraId="090D9F7D" w14:textId="033E2640" w:rsidR="007D4975" w:rsidRPr="001F3967" w:rsidRDefault="007D4975" w:rsidP="004442D3">
      <w:pPr>
        <w:spacing w:after="0" w:line="240" w:lineRule="auto"/>
        <w:jc w:val="both"/>
        <w:rPr>
          <w:rFonts w:ascii="Times New Roman" w:hAnsi="Times New Roman" w:cs="Times New Roman"/>
          <w:sz w:val="20"/>
          <w:szCs w:val="20"/>
        </w:rPr>
      </w:pPr>
      <w:r w:rsidRPr="001F3967">
        <w:rPr>
          <w:rFonts w:ascii="Times New Roman" w:hAnsi="Times New Roman" w:cs="Times New Roman"/>
          <w:sz w:val="20"/>
          <w:szCs w:val="20"/>
        </w:rPr>
        <w:t xml:space="preserve">The study employs a cross-sectional survey design using structured questionnaires to collect quantitative data from a sample of </w:t>
      </w:r>
      <w:r w:rsidR="00E03843" w:rsidRPr="001F3967">
        <w:rPr>
          <w:rFonts w:ascii="Times New Roman" w:hAnsi="Times New Roman" w:cs="Times New Roman"/>
          <w:sz w:val="20"/>
          <w:szCs w:val="20"/>
        </w:rPr>
        <w:t xml:space="preserve">the </w:t>
      </w:r>
      <w:r w:rsidR="00E03843" w:rsidRPr="001F3967">
        <w:rPr>
          <w:rFonts w:ascii="Times New Roman" w:hAnsi="Times New Roman" w:cs="Times New Roman"/>
          <w:iCs/>
          <w:sz w:val="20"/>
          <w:szCs w:val="20"/>
        </w:rPr>
        <w:t>n public sector agency</w:t>
      </w:r>
      <w:r w:rsidR="00CB5FC7" w:rsidRPr="001F3967">
        <w:rPr>
          <w:rFonts w:ascii="Times New Roman" w:hAnsi="Times New Roman" w:cs="Times New Roman"/>
          <w:sz w:val="20"/>
          <w:szCs w:val="20"/>
        </w:rPr>
        <w:t xml:space="preserve"> </w:t>
      </w:r>
      <w:r w:rsidRPr="001F3967">
        <w:rPr>
          <w:rFonts w:ascii="Times New Roman" w:hAnsi="Times New Roman" w:cs="Times New Roman"/>
          <w:sz w:val="20"/>
          <w:szCs w:val="20"/>
        </w:rPr>
        <w:t>subsidiar</w:t>
      </w:r>
      <w:r w:rsidR="00E03843" w:rsidRPr="001F3967">
        <w:rPr>
          <w:rFonts w:ascii="Times New Roman" w:hAnsi="Times New Roman" w:cs="Times New Roman"/>
          <w:sz w:val="20"/>
          <w:szCs w:val="20"/>
        </w:rPr>
        <w:t>ies’</w:t>
      </w:r>
      <w:r w:rsidRPr="001F3967">
        <w:rPr>
          <w:rFonts w:ascii="Times New Roman" w:hAnsi="Times New Roman" w:cs="Times New Roman"/>
          <w:sz w:val="20"/>
          <w:szCs w:val="20"/>
        </w:rPr>
        <w:t xml:space="preserve"> employees. A cross-</w:t>
      </w:r>
      <w:r w:rsidRPr="001F3967">
        <w:rPr>
          <w:rFonts w:ascii="Times New Roman" w:hAnsi="Times New Roman" w:cs="Times New Roman"/>
          <w:sz w:val="20"/>
          <w:szCs w:val="20"/>
        </w:rPr>
        <w:lastRenderedPageBreak/>
        <w:t>sectional design was chosen for its ability to capture data at a single point in time, providing a snapshot of the perceived factors that contribute to resilience across different subsidiaries.</w:t>
      </w:r>
    </w:p>
    <w:p w14:paraId="695EF604" w14:textId="77777777" w:rsidR="007D4975" w:rsidRPr="001F3967" w:rsidRDefault="007D4975" w:rsidP="004442D3">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This design is particularly suited for exploratory studies involving multiple constructs and large samples. It allows for the statistical testing of hypotheses derived from theory and provides opportunities to identify patterns, correlations, and predictive relationships between variables.</w:t>
      </w:r>
    </w:p>
    <w:p w14:paraId="5316CF6E" w14:textId="77777777" w:rsidR="007D4975" w:rsidRPr="001F3967" w:rsidRDefault="007D4975" w:rsidP="007D4975">
      <w:pPr>
        <w:spacing w:after="0" w:line="240" w:lineRule="auto"/>
        <w:ind w:firstLine="284"/>
        <w:rPr>
          <w:rFonts w:ascii="Times New Roman" w:hAnsi="Times New Roman" w:cs="Times New Roman"/>
          <w:sz w:val="20"/>
          <w:szCs w:val="20"/>
        </w:rPr>
      </w:pPr>
      <w:r w:rsidRPr="001F3967">
        <w:rPr>
          <w:rFonts w:ascii="Times New Roman" w:hAnsi="Times New Roman" w:cs="Times New Roman"/>
          <w:sz w:val="20"/>
          <w:szCs w:val="20"/>
        </w:rPr>
        <w:t>The five independent variables examined are:</w:t>
      </w:r>
    </w:p>
    <w:p w14:paraId="2D208A4D" w14:textId="77777777" w:rsidR="007D4975" w:rsidRPr="001F3967" w:rsidRDefault="007D4975" w:rsidP="007D4975">
      <w:pPr>
        <w:spacing w:after="0" w:line="240" w:lineRule="auto"/>
        <w:rPr>
          <w:rFonts w:ascii="Times New Roman" w:hAnsi="Times New Roman" w:cs="Times New Roman"/>
          <w:sz w:val="20"/>
          <w:szCs w:val="20"/>
        </w:rPr>
      </w:pPr>
    </w:p>
    <w:p w14:paraId="78D294A4" w14:textId="630E0D03" w:rsidR="007D4975" w:rsidRPr="001F3967" w:rsidRDefault="007D4975" w:rsidP="00CC51CB">
      <w:pPr>
        <w:pStyle w:val="ListParagraph"/>
        <w:numPr>
          <w:ilvl w:val="0"/>
          <w:numId w:val="29"/>
        </w:numPr>
        <w:spacing w:after="0" w:line="240" w:lineRule="auto"/>
        <w:ind w:hanging="153"/>
        <w:rPr>
          <w:rFonts w:ascii="Times New Roman" w:hAnsi="Times New Roman" w:cs="Times New Roman"/>
          <w:sz w:val="20"/>
          <w:szCs w:val="20"/>
        </w:rPr>
      </w:pPr>
      <w:r w:rsidRPr="001F3967">
        <w:rPr>
          <w:rFonts w:ascii="Times New Roman" w:hAnsi="Times New Roman" w:cs="Times New Roman"/>
          <w:sz w:val="20"/>
          <w:szCs w:val="20"/>
        </w:rPr>
        <w:t>Financial sustainability</w:t>
      </w:r>
    </w:p>
    <w:p w14:paraId="4B9F4C71" w14:textId="49EE59AB" w:rsidR="007D4975" w:rsidRPr="001F3967" w:rsidRDefault="007D4975" w:rsidP="00CC51CB">
      <w:pPr>
        <w:pStyle w:val="ListParagraph"/>
        <w:numPr>
          <w:ilvl w:val="0"/>
          <w:numId w:val="29"/>
        </w:numPr>
        <w:spacing w:after="0" w:line="240" w:lineRule="auto"/>
        <w:ind w:hanging="153"/>
        <w:rPr>
          <w:rFonts w:ascii="Times New Roman" w:hAnsi="Times New Roman" w:cs="Times New Roman"/>
          <w:sz w:val="20"/>
          <w:szCs w:val="20"/>
        </w:rPr>
      </w:pPr>
      <w:r w:rsidRPr="001F3967">
        <w:rPr>
          <w:rFonts w:ascii="Times New Roman" w:hAnsi="Times New Roman" w:cs="Times New Roman"/>
          <w:sz w:val="20"/>
          <w:szCs w:val="20"/>
        </w:rPr>
        <w:t>Revenue diversification</w:t>
      </w:r>
    </w:p>
    <w:p w14:paraId="0F46F75C" w14:textId="00301606" w:rsidR="007D4975" w:rsidRPr="001F3967" w:rsidRDefault="007D4975" w:rsidP="00CC51CB">
      <w:pPr>
        <w:pStyle w:val="ListParagraph"/>
        <w:numPr>
          <w:ilvl w:val="0"/>
          <w:numId w:val="29"/>
        </w:numPr>
        <w:spacing w:after="0" w:line="240" w:lineRule="auto"/>
        <w:ind w:hanging="153"/>
        <w:rPr>
          <w:rFonts w:ascii="Times New Roman" w:hAnsi="Times New Roman" w:cs="Times New Roman"/>
          <w:sz w:val="20"/>
          <w:szCs w:val="20"/>
        </w:rPr>
      </w:pPr>
      <w:r w:rsidRPr="001F3967">
        <w:rPr>
          <w:rFonts w:ascii="Times New Roman" w:hAnsi="Times New Roman" w:cs="Times New Roman"/>
          <w:sz w:val="20"/>
          <w:szCs w:val="20"/>
        </w:rPr>
        <w:t>Leadership quality</w:t>
      </w:r>
    </w:p>
    <w:p w14:paraId="0C74B94F" w14:textId="3603EE3B" w:rsidR="007D4975" w:rsidRPr="001F3967" w:rsidRDefault="007D4975" w:rsidP="00CC51CB">
      <w:pPr>
        <w:pStyle w:val="ListParagraph"/>
        <w:numPr>
          <w:ilvl w:val="0"/>
          <w:numId w:val="29"/>
        </w:numPr>
        <w:spacing w:after="0" w:line="240" w:lineRule="auto"/>
        <w:ind w:hanging="153"/>
        <w:rPr>
          <w:rFonts w:ascii="Times New Roman" w:hAnsi="Times New Roman" w:cs="Times New Roman"/>
          <w:sz w:val="20"/>
          <w:szCs w:val="20"/>
        </w:rPr>
      </w:pPr>
      <w:r w:rsidRPr="001F3967">
        <w:rPr>
          <w:rFonts w:ascii="Times New Roman" w:hAnsi="Times New Roman" w:cs="Times New Roman"/>
          <w:sz w:val="20"/>
          <w:szCs w:val="20"/>
        </w:rPr>
        <w:t>Organizational capacity</w:t>
      </w:r>
    </w:p>
    <w:p w14:paraId="74F5D247" w14:textId="77777777" w:rsidR="007D4975" w:rsidRPr="001F3967" w:rsidRDefault="007D4975" w:rsidP="00CC51CB">
      <w:pPr>
        <w:pStyle w:val="ListParagraph"/>
        <w:numPr>
          <w:ilvl w:val="0"/>
          <w:numId w:val="29"/>
        </w:numPr>
        <w:spacing w:after="0" w:line="240" w:lineRule="auto"/>
        <w:ind w:hanging="153"/>
        <w:rPr>
          <w:rFonts w:ascii="Times New Roman" w:hAnsi="Times New Roman" w:cs="Times New Roman"/>
          <w:sz w:val="20"/>
          <w:szCs w:val="20"/>
        </w:rPr>
      </w:pPr>
      <w:r w:rsidRPr="001F3967">
        <w:rPr>
          <w:rFonts w:ascii="Times New Roman" w:hAnsi="Times New Roman" w:cs="Times New Roman"/>
          <w:sz w:val="20"/>
          <w:szCs w:val="20"/>
        </w:rPr>
        <w:t>Market demand</w:t>
      </w:r>
    </w:p>
    <w:p w14:paraId="1590F20B" w14:textId="77777777" w:rsidR="007D4975" w:rsidRPr="001F3967" w:rsidRDefault="007D4975" w:rsidP="007D4975">
      <w:pPr>
        <w:spacing w:after="0" w:line="240" w:lineRule="auto"/>
        <w:rPr>
          <w:rFonts w:ascii="Times New Roman" w:hAnsi="Times New Roman" w:cs="Times New Roman"/>
          <w:sz w:val="20"/>
          <w:szCs w:val="20"/>
        </w:rPr>
      </w:pPr>
    </w:p>
    <w:p w14:paraId="53C49E62" w14:textId="39F3DA2B" w:rsidR="00A27EC4" w:rsidRPr="001F3967" w:rsidRDefault="007D4975" w:rsidP="004442D3">
      <w:pPr>
        <w:spacing w:after="0" w:line="240" w:lineRule="auto"/>
        <w:ind w:firstLine="360"/>
        <w:jc w:val="both"/>
        <w:rPr>
          <w:rFonts w:ascii="Times New Roman" w:hAnsi="Times New Roman" w:cs="Times New Roman"/>
          <w:sz w:val="20"/>
          <w:szCs w:val="20"/>
        </w:rPr>
      </w:pPr>
      <w:r w:rsidRPr="001F3967">
        <w:rPr>
          <w:rFonts w:ascii="Times New Roman" w:hAnsi="Times New Roman" w:cs="Times New Roman"/>
          <w:sz w:val="20"/>
          <w:szCs w:val="20"/>
        </w:rPr>
        <w:t xml:space="preserve">The dependent variable is the perceived resilience of the organization. All variables were measured using indicators adapted from prior studies, adjusted to suit the local context of </w:t>
      </w:r>
      <w:r w:rsidR="00E03843" w:rsidRPr="001F3967">
        <w:rPr>
          <w:rFonts w:ascii="Times New Roman" w:hAnsi="Times New Roman" w:cs="Times New Roman"/>
          <w:sz w:val="20"/>
          <w:szCs w:val="20"/>
        </w:rPr>
        <w:t>the</w:t>
      </w:r>
      <w:r w:rsidR="00CB5FC7" w:rsidRPr="001F3967">
        <w:rPr>
          <w:rFonts w:ascii="Times New Roman" w:hAnsi="Times New Roman" w:cs="Times New Roman"/>
          <w:sz w:val="20"/>
          <w:szCs w:val="20"/>
        </w:rPr>
        <w:t xml:space="preserve"> </w:t>
      </w:r>
      <w:r w:rsidRPr="001F3967">
        <w:rPr>
          <w:rFonts w:ascii="Times New Roman" w:hAnsi="Times New Roman" w:cs="Times New Roman"/>
          <w:sz w:val="20"/>
          <w:szCs w:val="20"/>
        </w:rPr>
        <w:t>subsidiaries.</w:t>
      </w:r>
    </w:p>
    <w:p w14:paraId="361FA3B7" w14:textId="77777777" w:rsidR="007D4975" w:rsidRPr="001F3967" w:rsidRDefault="007D4975" w:rsidP="007D4975">
      <w:pPr>
        <w:spacing w:after="0" w:line="240" w:lineRule="auto"/>
        <w:ind w:firstLine="360"/>
        <w:rPr>
          <w:rFonts w:ascii="Times New Roman" w:hAnsi="Times New Roman" w:cs="Times New Roman"/>
          <w:b/>
          <w:bCs/>
          <w:sz w:val="20"/>
          <w:szCs w:val="20"/>
        </w:rPr>
      </w:pPr>
    </w:p>
    <w:p w14:paraId="5F695A2D" w14:textId="019532A5" w:rsidR="00D93992" w:rsidRPr="001F3967" w:rsidRDefault="00D93992" w:rsidP="00A27EC4">
      <w:pPr>
        <w:spacing w:after="0" w:line="240" w:lineRule="auto"/>
        <w:rPr>
          <w:rFonts w:ascii="Times New Roman" w:hAnsi="Times New Roman" w:cs="Times New Roman"/>
          <w:b/>
          <w:bCs/>
          <w:sz w:val="20"/>
          <w:szCs w:val="20"/>
        </w:rPr>
      </w:pPr>
      <w:r w:rsidRPr="001F3967">
        <w:rPr>
          <w:rFonts w:ascii="Times New Roman" w:hAnsi="Times New Roman" w:cs="Times New Roman"/>
          <w:b/>
          <w:bCs/>
          <w:sz w:val="20"/>
          <w:szCs w:val="20"/>
        </w:rPr>
        <w:t>3.2</w:t>
      </w:r>
      <w:r w:rsidRPr="001F3967">
        <w:rPr>
          <w:rFonts w:ascii="Times New Roman" w:hAnsi="Times New Roman" w:cs="Times New Roman"/>
          <w:b/>
          <w:bCs/>
          <w:sz w:val="20"/>
          <w:szCs w:val="20"/>
        </w:rPr>
        <w:tab/>
        <w:t>Population and Sample</w:t>
      </w:r>
    </w:p>
    <w:p w14:paraId="5E62F22E" w14:textId="77777777" w:rsidR="00A27EC4" w:rsidRPr="001F3967" w:rsidRDefault="00A27EC4" w:rsidP="00A27EC4">
      <w:pPr>
        <w:spacing w:after="0" w:line="240" w:lineRule="auto"/>
        <w:jc w:val="both"/>
        <w:rPr>
          <w:rFonts w:ascii="Times New Roman" w:hAnsi="Times New Roman" w:cs="Times New Roman"/>
          <w:sz w:val="20"/>
          <w:szCs w:val="20"/>
        </w:rPr>
      </w:pPr>
    </w:p>
    <w:p w14:paraId="42A7EBA3" w14:textId="5F03F55B" w:rsidR="007D4975" w:rsidRPr="001F3967" w:rsidRDefault="007D4975" w:rsidP="004442D3">
      <w:pPr>
        <w:spacing w:after="0" w:line="240" w:lineRule="auto"/>
        <w:jc w:val="both"/>
        <w:rPr>
          <w:rFonts w:ascii="Times New Roman" w:hAnsi="Times New Roman" w:cs="Times New Roman"/>
          <w:sz w:val="20"/>
          <w:szCs w:val="20"/>
        </w:rPr>
      </w:pPr>
      <w:r w:rsidRPr="001F3967">
        <w:rPr>
          <w:rFonts w:ascii="Times New Roman" w:hAnsi="Times New Roman" w:cs="Times New Roman"/>
          <w:sz w:val="20"/>
          <w:szCs w:val="20"/>
        </w:rPr>
        <w:t xml:space="preserve">The population for this study consists of all full-time employees working under </w:t>
      </w:r>
      <w:r w:rsidR="00E03843" w:rsidRPr="001F3967">
        <w:rPr>
          <w:rFonts w:ascii="Times New Roman" w:hAnsi="Times New Roman" w:cs="Times New Roman"/>
          <w:sz w:val="20"/>
          <w:szCs w:val="20"/>
        </w:rPr>
        <w:t xml:space="preserve">the </w:t>
      </w:r>
      <w:r w:rsidR="00E03843" w:rsidRPr="001F3967">
        <w:rPr>
          <w:rFonts w:ascii="Times New Roman" w:hAnsi="Times New Roman" w:cs="Times New Roman"/>
          <w:iCs/>
          <w:sz w:val="20"/>
          <w:szCs w:val="20"/>
        </w:rPr>
        <w:t>n public sector agency</w:t>
      </w:r>
      <w:r w:rsidR="00E03843" w:rsidRPr="001F3967">
        <w:rPr>
          <w:rFonts w:ascii="Times New Roman" w:hAnsi="Times New Roman" w:cs="Times New Roman"/>
          <w:i/>
          <w:sz w:val="20"/>
          <w:szCs w:val="20"/>
        </w:rPr>
        <w:t xml:space="preserve"> </w:t>
      </w:r>
      <w:r w:rsidRPr="001F3967">
        <w:rPr>
          <w:rFonts w:ascii="Times New Roman" w:hAnsi="Times New Roman" w:cs="Times New Roman"/>
          <w:sz w:val="20"/>
          <w:szCs w:val="20"/>
        </w:rPr>
        <w:t>subsidiaries</w:t>
      </w:r>
      <w:r w:rsidR="00F5560D" w:rsidRPr="001F3967">
        <w:rPr>
          <w:rFonts w:ascii="Times New Roman" w:hAnsi="Times New Roman" w:cs="Times New Roman"/>
          <w:sz w:val="20"/>
          <w:szCs w:val="20"/>
        </w:rPr>
        <w:t>.</w:t>
      </w:r>
      <w:r w:rsidRPr="001F3967">
        <w:rPr>
          <w:rFonts w:ascii="Times New Roman" w:hAnsi="Times New Roman" w:cs="Times New Roman"/>
          <w:sz w:val="20"/>
          <w:szCs w:val="20"/>
        </w:rPr>
        <w:t xml:space="preserve"> </w:t>
      </w:r>
      <w:r w:rsidR="00F5560D">
        <w:rPr>
          <w:rFonts w:ascii="Times New Roman" w:hAnsi="Times New Roman" w:cs="Times New Roman"/>
          <w:sz w:val="20"/>
          <w:szCs w:val="20"/>
        </w:rPr>
        <w:t>T</w:t>
      </w:r>
      <w:r w:rsidRPr="001F3967">
        <w:rPr>
          <w:rFonts w:ascii="Times New Roman" w:hAnsi="Times New Roman" w:cs="Times New Roman"/>
          <w:sz w:val="20"/>
          <w:szCs w:val="20"/>
        </w:rPr>
        <w:t>he total population stood at approximately 7,108 individuals, covering 45 subsidiaries engaged in education, technical training, property development, investment, and logistics.</w:t>
      </w:r>
    </w:p>
    <w:p w14:paraId="2565C2A5" w14:textId="77777777" w:rsidR="007D4975" w:rsidRPr="001F3967" w:rsidRDefault="007D4975" w:rsidP="004442D3">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A stratified random sampling technique was employed to ensure representation across organizational levels (executive, non-executive, managerial) and subsidiary types. Stratification is appropriate given the variation in roles, functions, and exposure to financial and operational information among different employee groups.</w:t>
      </w:r>
    </w:p>
    <w:p w14:paraId="304E4784" w14:textId="5403209C" w:rsidR="00A27EC4" w:rsidRPr="001F3967" w:rsidRDefault="007D4975" w:rsidP="004442D3">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Using Krejcie and Morgan’s (1970) sample size table, the required minimum sample for a population of 7,000</w:t>
      </w:r>
      <w:r w:rsidR="00F5560D">
        <w:rPr>
          <w:rFonts w:ascii="Times New Roman" w:hAnsi="Times New Roman" w:cs="Times New Roman"/>
          <w:sz w:val="20"/>
          <w:szCs w:val="20"/>
        </w:rPr>
        <w:t>++</w:t>
      </w:r>
      <w:r w:rsidRPr="001F3967">
        <w:rPr>
          <w:rFonts w:ascii="Times New Roman" w:hAnsi="Times New Roman" w:cs="Times New Roman"/>
          <w:sz w:val="20"/>
          <w:szCs w:val="20"/>
        </w:rPr>
        <w:t xml:space="preserve"> is 364 respondents. The study successfully obtained 381 usable responses, ensuring sufficient statistical power for the analyses. Participants were selected based on their tenure, involvement in strategic or financial operations, and consent to participate voluntarily.</w:t>
      </w:r>
    </w:p>
    <w:p w14:paraId="2E84AB80" w14:textId="77777777" w:rsidR="007D4975" w:rsidRPr="001F3967" w:rsidRDefault="007D4975" w:rsidP="007D4975">
      <w:pPr>
        <w:spacing w:after="0" w:line="240" w:lineRule="auto"/>
        <w:ind w:firstLine="284"/>
        <w:rPr>
          <w:rFonts w:ascii="Times New Roman" w:hAnsi="Times New Roman" w:cs="Times New Roman"/>
          <w:b/>
          <w:bCs/>
          <w:sz w:val="20"/>
          <w:szCs w:val="20"/>
        </w:rPr>
      </w:pPr>
    </w:p>
    <w:p w14:paraId="04D438C0" w14:textId="250AF463" w:rsidR="00D93992" w:rsidRPr="001F3967" w:rsidRDefault="00D93992" w:rsidP="00A27EC4">
      <w:pPr>
        <w:spacing w:after="0" w:line="240" w:lineRule="auto"/>
        <w:rPr>
          <w:rFonts w:ascii="Times New Roman" w:hAnsi="Times New Roman" w:cs="Times New Roman"/>
          <w:b/>
          <w:bCs/>
          <w:sz w:val="20"/>
          <w:szCs w:val="20"/>
        </w:rPr>
      </w:pPr>
      <w:r w:rsidRPr="001F3967">
        <w:rPr>
          <w:rFonts w:ascii="Times New Roman" w:hAnsi="Times New Roman" w:cs="Times New Roman"/>
          <w:b/>
          <w:bCs/>
          <w:sz w:val="20"/>
          <w:szCs w:val="20"/>
        </w:rPr>
        <w:t>3.3</w:t>
      </w:r>
      <w:r w:rsidRPr="001F3967">
        <w:rPr>
          <w:rFonts w:ascii="Times New Roman" w:hAnsi="Times New Roman" w:cs="Times New Roman"/>
          <w:b/>
          <w:bCs/>
          <w:sz w:val="20"/>
          <w:szCs w:val="20"/>
        </w:rPr>
        <w:tab/>
        <w:t>Data Collection Methods</w:t>
      </w:r>
    </w:p>
    <w:p w14:paraId="7EC9998B" w14:textId="77777777" w:rsidR="00A27EC4" w:rsidRPr="001F3967" w:rsidRDefault="00A27EC4" w:rsidP="00A27EC4">
      <w:pPr>
        <w:spacing w:after="0" w:line="240" w:lineRule="auto"/>
        <w:jc w:val="both"/>
        <w:rPr>
          <w:rFonts w:ascii="Times New Roman" w:hAnsi="Times New Roman" w:cs="Times New Roman"/>
          <w:sz w:val="20"/>
          <w:szCs w:val="20"/>
        </w:rPr>
      </w:pPr>
    </w:p>
    <w:p w14:paraId="3F057528" w14:textId="07AB6DE3" w:rsidR="007D4975" w:rsidRPr="001F3967" w:rsidRDefault="007D4975" w:rsidP="007D4975">
      <w:pPr>
        <w:spacing w:after="0" w:line="240" w:lineRule="auto"/>
        <w:jc w:val="both"/>
        <w:rPr>
          <w:rFonts w:ascii="Times New Roman" w:hAnsi="Times New Roman" w:cs="Times New Roman"/>
          <w:sz w:val="20"/>
          <w:szCs w:val="20"/>
        </w:rPr>
      </w:pPr>
      <w:r w:rsidRPr="001F3967">
        <w:rPr>
          <w:rFonts w:ascii="Times New Roman" w:hAnsi="Times New Roman" w:cs="Times New Roman"/>
          <w:sz w:val="20"/>
          <w:szCs w:val="20"/>
        </w:rPr>
        <w:t xml:space="preserve">The primary method of data collection was a self-administered online questionnaire, developed using Google Forms and distributed through official </w:t>
      </w:r>
      <w:r w:rsidR="00E03843" w:rsidRPr="001F3967">
        <w:rPr>
          <w:rFonts w:ascii="Times New Roman" w:hAnsi="Times New Roman" w:cs="Times New Roman"/>
          <w:iCs/>
          <w:sz w:val="20"/>
          <w:szCs w:val="20"/>
        </w:rPr>
        <w:t>subsidiaries</w:t>
      </w:r>
      <w:r w:rsidR="00E03843" w:rsidRPr="001F3967">
        <w:rPr>
          <w:rFonts w:ascii="Times New Roman" w:hAnsi="Times New Roman" w:cs="Times New Roman"/>
          <w:i/>
          <w:sz w:val="20"/>
          <w:szCs w:val="20"/>
        </w:rPr>
        <w:t xml:space="preserve"> </w:t>
      </w:r>
      <w:r w:rsidRPr="001F3967">
        <w:rPr>
          <w:rFonts w:ascii="Times New Roman" w:hAnsi="Times New Roman" w:cs="Times New Roman"/>
          <w:sz w:val="20"/>
          <w:szCs w:val="20"/>
        </w:rPr>
        <w:t>communication channels. This approach was chosen for its efficiency, accessibility, and ease of use, particularly amid restrictions related to post-pandemic workplace norms.</w:t>
      </w:r>
    </w:p>
    <w:p w14:paraId="75E4BD43" w14:textId="77777777" w:rsidR="007D4975" w:rsidRPr="001F3967" w:rsidRDefault="007D4975" w:rsidP="007D4975">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The questionnaire comprised two major sections:</w:t>
      </w:r>
    </w:p>
    <w:p w14:paraId="550ED3FE" w14:textId="77777777" w:rsidR="007D4975" w:rsidRPr="001F3967" w:rsidRDefault="007D4975" w:rsidP="007D4975">
      <w:pPr>
        <w:pStyle w:val="ListParagraph"/>
        <w:numPr>
          <w:ilvl w:val="0"/>
          <w:numId w:val="30"/>
        </w:numPr>
        <w:spacing w:after="0" w:line="240" w:lineRule="auto"/>
        <w:jc w:val="both"/>
        <w:rPr>
          <w:rFonts w:ascii="Times New Roman" w:hAnsi="Times New Roman" w:cs="Times New Roman"/>
          <w:sz w:val="20"/>
          <w:szCs w:val="20"/>
        </w:rPr>
      </w:pPr>
      <w:r w:rsidRPr="001F3967">
        <w:rPr>
          <w:rFonts w:ascii="Times New Roman" w:hAnsi="Times New Roman" w:cs="Times New Roman"/>
          <w:sz w:val="20"/>
          <w:szCs w:val="20"/>
        </w:rPr>
        <w:t>Section A: Captured demographic data, including position, years of service, and subsidiary type.</w:t>
      </w:r>
    </w:p>
    <w:p w14:paraId="036FE170" w14:textId="0B624C1E" w:rsidR="007D4975" w:rsidRPr="001F3967" w:rsidRDefault="007D4975" w:rsidP="007D4975">
      <w:pPr>
        <w:pStyle w:val="ListParagraph"/>
        <w:numPr>
          <w:ilvl w:val="0"/>
          <w:numId w:val="30"/>
        </w:numPr>
        <w:spacing w:after="0" w:line="240" w:lineRule="auto"/>
        <w:jc w:val="both"/>
        <w:rPr>
          <w:rFonts w:ascii="Times New Roman" w:hAnsi="Times New Roman" w:cs="Times New Roman"/>
          <w:sz w:val="20"/>
          <w:szCs w:val="20"/>
        </w:rPr>
      </w:pPr>
      <w:r w:rsidRPr="001F3967">
        <w:rPr>
          <w:rFonts w:ascii="Times New Roman" w:hAnsi="Times New Roman" w:cs="Times New Roman"/>
          <w:sz w:val="20"/>
          <w:szCs w:val="20"/>
        </w:rPr>
        <w:t>Section B: Contained Likert-scale items (1 = Strongly Disagree to 5 = Strongly Agree) measuring each of the five independent variables and the dependent variable.</w:t>
      </w:r>
    </w:p>
    <w:p w14:paraId="76283BA2" w14:textId="77777777" w:rsidR="007D4975" w:rsidRPr="001F3967" w:rsidRDefault="007D4975" w:rsidP="007D4975">
      <w:pPr>
        <w:spacing w:after="0" w:line="240" w:lineRule="auto"/>
        <w:jc w:val="both"/>
        <w:rPr>
          <w:rFonts w:ascii="Times New Roman" w:hAnsi="Times New Roman" w:cs="Times New Roman"/>
          <w:sz w:val="20"/>
          <w:szCs w:val="20"/>
        </w:rPr>
      </w:pPr>
    </w:p>
    <w:p w14:paraId="0084ADAB" w14:textId="7BDFDD98" w:rsidR="007D4975" w:rsidRPr="001F3967" w:rsidRDefault="007D4975" w:rsidP="007D4975">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To ensure cultural and contextual appropriateness, items were adapted from validated international instruments, including those used by Jung (2017), Wright &amp; Reames (2020), and Southwick et al. (2017), but reworded for relevance to n GLSEs.</w:t>
      </w:r>
    </w:p>
    <w:p w14:paraId="14165FFD" w14:textId="77777777" w:rsidR="007D4975" w:rsidRPr="001F3967" w:rsidRDefault="007D4975" w:rsidP="007D4975">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A pilot study was conducted with 22 respondents to refine question clarity and wording. Feedback led to the removal of ambiguous items and improvements to phrasing. The final questionnaire took approximately 8–12 minutes to complete.</w:t>
      </w:r>
    </w:p>
    <w:p w14:paraId="604B7E08" w14:textId="3F4951FF" w:rsidR="00A27EC4" w:rsidRPr="001F3967" w:rsidRDefault="007D4975" w:rsidP="007D4975">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 xml:space="preserve">Ethical approval was obtained from the relevant </w:t>
      </w:r>
      <w:r w:rsidR="00E03843" w:rsidRPr="001F3967">
        <w:rPr>
          <w:rFonts w:ascii="Times New Roman" w:hAnsi="Times New Roman" w:cs="Times New Roman"/>
          <w:sz w:val="20"/>
          <w:szCs w:val="20"/>
        </w:rPr>
        <w:t xml:space="preserve">the subsidiaries   </w:t>
      </w:r>
      <w:r w:rsidRPr="001F3967">
        <w:rPr>
          <w:rFonts w:ascii="Times New Roman" w:hAnsi="Times New Roman" w:cs="Times New Roman"/>
          <w:sz w:val="20"/>
          <w:szCs w:val="20"/>
        </w:rPr>
        <w:t>office. Participation was anonymous, and all responses were kept confidential and used solely for research purposes.</w:t>
      </w:r>
    </w:p>
    <w:p w14:paraId="4DE33358" w14:textId="77777777" w:rsidR="004442D3" w:rsidRPr="001F3967" w:rsidRDefault="004442D3" w:rsidP="007D4975">
      <w:pPr>
        <w:spacing w:after="0" w:line="240" w:lineRule="auto"/>
        <w:ind w:firstLine="284"/>
        <w:jc w:val="both"/>
        <w:rPr>
          <w:rFonts w:ascii="Times New Roman" w:hAnsi="Times New Roman" w:cs="Times New Roman"/>
          <w:b/>
          <w:bCs/>
          <w:sz w:val="20"/>
          <w:szCs w:val="20"/>
        </w:rPr>
      </w:pPr>
    </w:p>
    <w:p w14:paraId="380A733B" w14:textId="7DEBF60E" w:rsidR="00231974" w:rsidRPr="001F3967" w:rsidRDefault="00231974" w:rsidP="00A27EC4">
      <w:pPr>
        <w:spacing w:after="0" w:line="240" w:lineRule="auto"/>
        <w:jc w:val="both"/>
        <w:rPr>
          <w:rFonts w:ascii="Times New Roman" w:hAnsi="Times New Roman" w:cs="Times New Roman"/>
          <w:b/>
          <w:bCs/>
          <w:sz w:val="20"/>
          <w:szCs w:val="20"/>
        </w:rPr>
      </w:pPr>
      <w:r w:rsidRPr="001F3967">
        <w:rPr>
          <w:rFonts w:ascii="Times New Roman" w:hAnsi="Times New Roman" w:cs="Times New Roman"/>
          <w:b/>
          <w:bCs/>
          <w:sz w:val="20"/>
          <w:szCs w:val="20"/>
        </w:rPr>
        <w:lastRenderedPageBreak/>
        <w:t>3.4</w:t>
      </w:r>
      <w:r w:rsidRPr="001F3967">
        <w:rPr>
          <w:rFonts w:ascii="Times New Roman" w:hAnsi="Times New Roman" w:cs="Times New Roman"/>
          <w:b/>
          <w:bCs/>
          <w:sz w:val="20"/>
          <w:szCs w:val="20"/>
        </w:rPr>
        <w:tab/>
        <w:t>Data Analysis</w:t>
      </w:r>
    </w:p>
    <w:p w14:paraId="5F20F201" w14:textId="77777777" w:rsidR="00A27EC4" w:rsidRPr="001F3967" w:rsidRDefault="00A27EC4" w:rsidP="00A27EC4">
      <w:pPr>
        <w:spacing w:after="0" w:line="240" w:lineRule="auto"/>
        <w:jc w:val="both"/>
        <w:rPr>
          <w:rFonts w:ascii="Times New Roman" w:hAnsi="Times New Roman" w:cs="Times New Roman"/>
          <w:sz w:val="20"/>
          <w:szCs w:val="20"/>
        </w:rPr>
      </w:pPr>
    </w:p>
    <w:p w14:paraId="6EF59F0C" w14:textId="77777777" w:rsidR="007D4975" w:rsidRPr="001F3967" w:rsidRDefault="007D4975" w:rsidP="007D4975">
      <w:pPr>
        <w:spacing w:after="0" w:line="240" w:lineRule="auto"/>
        <w:jc w:val="both"/>
        <w:rPr>
          <w:rFonts w:ascii="Times New Roman" w:hAnsi="Times New Roman" w:cs="Times New Roman"/>
          <w:sz w:val="20"/>
          <w:szCs w:val="20"/>
        </w:rPr>
      </w:pPr>
      <w:r w:rsidRPr="001F3967">
        <w:rPr>
          <w:rFonts w:ascii="Times New Roman" w:hAnsi="Times New Roman" w:cs="Times New Roman"/>
          <w:sz w:val="20"/>
          <w:szCs w:val="20"/>
        </w:rPr>
        <w:t>Data from the questionnaires were analyzed using IBM SPSS Statistics Version 26. The analysis proceeded in several stages:</w:t>
      </w:r>
    </w:p>
    <w:p w14:paraId="5FE37BA1" w14:textId="77777777" w:rsidR="007D4975" w:rsidRPr="001F3967" w:rsidRDefault="007D4975" w:rsidP="007D4975">
      <w:pPr>
        <w:spacing w:after="0" w:line="240" w:lineRule="auto"/>
        <w:jc w:val="both"/>
        <w:rPr>
          <w:rFonts w:ascii="Times New Roman" w:hAnsi="Times New Roman" w:cs="Times New Roman"/>
          <w:sz w:val="20"/>
          <w:szCs w:val="20"/>
        </w:rPr>
      </w:pPr>
    </w:p>
    <w:p w14:paraId="350ABB76" w14:textId="77777777" w:rsidR="007D4975" w:rsidRPr="001F3967" w:rsidRDefault="007D4975" w:rsidP="007D4975">
      <w:pPr>
        <w:spacing w:after="0" w:line="240" w:lineRule="auto"/>
        <w:jc w:val="both"/>
        <w:rPr>
          <w:rFonts w:ascii="Times New Roman" w:hAnsi="Times New Roman" w:cs="Times New Roman"/>
          <w:sz w:val="20"/>
          <w:szCs w:val="20"/>
        </w:rPr>
      </w:pPr>
      <w:r w:rsidRPr="001F3967">
        <w:rPr>
          <w:rFonts w:ascii="Times New Roman" w:hAnsi="Times New Roman" w:cs="Times New Roman"/>
          <w:b/>
          <w:bCs/>
          <w:sz w:val="20"/>
          <w:szCs w:val="20"/>
        </w:rPr>
        <w:t>Descriptive Statistics</w:t>
      </w:r>
      <w:r w:rsidRPr="001F3967">
        <w:rPr>
          <w:rFonts w:ascii="Times New Roman" w:hAnsi="Times New Roman" w:cs="Times New Roman"/>
          <w:sz w:val="20"/>
          <w:szCs w:val="20"/>
        </w:rPr>
        <w:t>: Used to analyze demographic characteristics and summarize responses for each variable. Mean scores and standard deviations were calculated to understand overall perceptions.</w:t>
      </w:r>
    </w:p>
    <w:p w14:paraId="77C66DE3" w14:textId="77777777" w:rsidR="007D4975" w:rsidRPr="001F3967" w:rsidRDefault="007D4975" w:rsidP="007D4975">
      <w:pPr>
        <w:spacing w:after="0" w:line="240" w:lineRule="auto"/>
        <w:jc w:val="both"/>
        <w:rPr>
          <w:rFonts w:ascii="Times New Roman" w:hAnsi="Times New Roman" w:cs="Times New Roman"/>
          <w:sz w:val="20"/>
          <w:szCs w:val="20"/>
        </w:rPr>
      </w:pPr>
    </w:p>
    <w:p w14:paraId="12729D5F" w14:textId="77777777" w:rsidR="007D4975" w:rsidRPr="001F3967" w:rsidRDefault="007D4975" w:rsidP="007D4975">
      <w:pPr>
        <w:spacing w:after="0" w:line="240" w:lineRule="auto"/>
        <w:jc w:val="both"/>
        <w:rPr>
          <w:rFonts w:ascii="Times New Roman" w:hAnsi="Times New Roman" w:cs="Times New Roman"/>
          <w:sz w:val="20"/>
          <w:szCs w:val="20"/>
        </w:rPr>
      </w:pPr>
      <w:r w:rsidRPr="001F3967">
        <w:rPr>
          <w:rFonts w:ascii="Times New Roman" w:hAnsi="Times New Roman" w:cs="Times New Roman"/>
          <w:b/>
          <w:bCs/>
          <w:sz w:val="20"/>
          <w:szCs w:val="20"/>
        </w:rPr>
        <w:t>Reliability Testing</w:t>
      </w:r>
      <w:r w:rsidRPr="001F3967">
        <w:rPr>
          <w:rFonts w:ascii="Times New Roman" w:hAnsi="Times New Roman" w:cs="Times New Roman"/>
          <w:sz w:val="20"/>
          <w:szCs w:val="20"/>
        </w:rPr>
        <w:t>: Cronbach’s alpha coefficients were calculated to assess internal consistency of the constructs. All constructs achieved alpha values above 0.70, indicating acceptable reliability.</w:t>
      </w:r>
    </w:p>
    <w:p w14:paraId="520BFB62" w14:textId="77777777" w:rsidR="007D4975" w:rsidRPr="001F3967" w:rsidRDefault="007D4975" w:rsidP="007D4975">
      <w:pPr>
        <w:spacing w:after="0" w:line="240" w:lineRule="auto"/>
        <w:jc w:val="both"/>
        <w:rPr>
          <w:rFonts w:ascii="Times New Roman" w:hAnsi="Times New Roman" w:cs="Times New Roman"/>
          <w:sz w:val="20"/>
          <w:szCs w:val="20"/>
        </w:rPr>
      </w:pPr>
    </w:p>
    <w:p w14:paraId="30B7CF72" w14:textId="77777777" w:rsidR="007D4975" w:rsidRPr="001F3967" w:rsidRDefault="007D4975" w:rsidP="007D4975">
      <w:pPr>
        <w:spacing w:after="0" w:line="240" w:lineRule="auto"/>
        <w:jc w:val="both"/>
        <w:rPr>
          <w:rFonts w:ascii="Times New Roman" w:hAnsi="Times New Roman" w:cs="Times New Roman"/>
          <w:sz w:val="20"/>
          <w:szCs w:val="20"/>
        </w:rPr>
      </w:pPr>
      <w:r w:rsidRPr="001F3967">
        <w:rPr>
          <w:rFonts w:ascii="Times New Roman" w:hAnsi="Times New Roman" w:cs="Times New Roman"/>
          <w:b/>
          <w:bCs/>
          <w:sz w:val="20"/>
          <w:szCs w:val="20"/>
        </w:rPr>
        <w:t>Correlation Analysis</w:t>
      </w:r>
      <w:r w:rsidRPr="001F3967">
        <w:rPr>
          <w:rFonts w:ascii="Times New Roman" w:hAnsi="Times New Roman" w:cs="Times New Roman"/>
          <w:sz w:val="20"/>
          <w:szCs w:val="20"/>
        </w:rPr>
        <w:t>: Pearson’s correlation coefficient was used to examine the strength and direction of the relationships between independent variables and organizational resilience.</w:t>
      </w:r>
    </w:p>
    <w:p w14:paraId="169E1106" w14:textId="77777777" w:rsidR="007D4975" w:rsidRPr="001F3967" w:rsidRDefault="007D4975" w:rsidP="007D4975">
      <w:pPr>
        <w:spacing w:after="0" w:line="240" w:lineRule="auto"/>
        <w:jc w:val="both"/>
        <w:rPr>
          <w:rFonts w:ascii="Times New Roman" w:hAnsi="Times New Roman" w:cs="Times New Roman"/>
          <w:sz w:val="20"/>
          <w:szCs w:val="20"/>
        </w:rPr>
      </w:pPr>
    </w:p>
    <w:p w14:paraId="48FFC708" w14:textId="77777777" w:rsidR="007D4975" w:rsidRPr="001F3967" w:rsidRDefault="007D4975" w:rsidP="007D4975">
      <w:pPr>
        <w:spacing w:after="0" w:line="240" w:lineRule="auto"/>
        <w:jc w:val="both"/>
        <w:rPr>
          <w:rFonts w:ascii="Times New Roman" w:hAnsi="Times New Roman" w:cs="Times New Roman"/>
          <w:sz w:val="20"/>
          <w:szCs w:val="20"/>
        </w:rPr>
      </w:pPr>
      <w:r w:rsidRPr="001F3967">
        <w:rPr>
          <w:rFonts w:ascii="Times New Roman" w:hAnsi="Times New Roman" w:cs="Times New Roman"/>
          <w:b/>
          <w:bCs/>
          <w:sz w:val="20"/>
          <w:szCs w:val="20"/>
        </w:rPr>
        <w:t>Multiple Regression Analysis</w:t>
      </w:r>
      <w:r w:rsidRPr="001F3967">
        <w:rPr>
          <w:rFonts w:ascii="Times New Roman" w:hAnsi="Times New Roman" w:cs="Times New Roman"/>
          <w:sz w:val="20"/>
          <w:szCs w:val="20"/>
        </w:rPr>
        <w:t>: This inferential technique was employed to determine which variables significantly predicted resilience. The model used resilience as the dependent variable and the five internal factors as predictors.</w:t>
      </w:r>
    </w:p>
    <w:p w14:paraId="17834C0F" w14:textId="77777777" w:rsidR="007D4975" w:rsidRPr="001F3967" w:rsidRDefault="007D4975" w:rsidP="007D4975">
      <w:pPr>
        <w:spacing w:after="0" w:line="240" w:lineRule="auto"/>
        <w:jc w:val="both"/>
        <w:rPr>
          <w:rFonts w:ascii="Times New Roman" w:hAnsi="Times New Roman" w:cs="Times New Roman"/>
          <w:sz w:val="20"/>
          <w:szCs w:val="20"/>
        </w:rPr>
      </w:pPr>
    </w:p>
    <w:p w14:paraId="2309A03C" w14:textId="77777777" w:rsidR="007D4975" w:rsidRPr="001F3967" w:rsidRDefault="007D4975" w:rsidP="007D4975">
      <w:pPr>
        <w:spacing w:after="0" w:line="240" w:lineRule="auto"/>
        <w:jc w:val="both"/>
        <w:rPr>
          <w:rFonts w:ascii="Times New Roman" w:hAnsi="Times New Roman" w:cs="Times New Roman"/>
          <w:sz w:val="20"/>
          <w:szCs w:val="20"/>
        </w:rPr>
      </w:pPr>
      <w:r w:rsidRPr="001F3967">
        <w:rPr>
          <w:rFonts w:ascii="Times New Roman" w:hAnsi="Times New Roman" w:cs="Times New Roman"/>
          <w:sz w:val="20"/>
          <w:szCs w:val="20"/>
        </w:rPr>
        <w:t>The regression equation was as follows:</w:t>
      </w:r>
    </w:p>
    <w:p w14:paraId="4354EDE5" w14:textId="77777777" w:rsidR="007D4975" w:rsidRPr="001F3967" w:rsidRDefault="007D4975" w:rsidP="007D4975">
      <w:pPr>
        <w:spacing w:after="0" w:line="240" w:lineRule="auto"/>
        <w:jc w:val="both"/>
        <w:rPr>
          <w:rFonts w:ascii="Times New Roman" w:hAnsi="Times New Roman" w:cs="Times New Roman"/>
          <w:sz w:val="20"/>
          <w:szCs w:val="20"/>
        </w:rPr>
      </w:pPr>
      <w:r w:rsidRPr="001F3967">
        <w:rPr>
          <w:rFonts w:ascii="Times New Roman" w:hAnsi="Times New Roman" w:cs="Times New Roman"/>
          <w:sz w:val="20"/>
          <w:szCs w:val="20"/>
        </w:rPr>
        <w:t>Y = β0 + β1X1 + β2X2 + β3X3 + β4X4 + β5X5 + ε</w:t>
      </w:r>
    </w:p>
    <w:p w14:paraId="7FFA7EFA" w14:textId="77777777" w:rsidR="004C4015" w:rsidRPr="001F3967" w:rsidRDefault="004C4015" w:rsidP="007D4975">
      <w:pPr>
        <w:spacing w:after="0" w:line="240" w:lineRule="auto"/>
        <w:jc w:val="both"/>
        <w:rPr>
          <w:rFonts w:ascii="Times New Roman" w:hAnsi="Times New Roman" w:cs="Times New Roman"/>
          <w:sz w:val="20"/>
          <w:szCs w:val="20"/>
        </w:rPr>
      </w:pPr>
    </w:p>
    <w:p w14:paraId="2C374AB3" w14:textId="77688670" w:rsidR="007D4975" w:rsidRPr="001F3967" w:rsidRDefault="007D4975" w:rsidP="007D4975">
      <w:pPr>
        <w:spacing w:after="0" w:line="240" w:lineRule="auto"/>
        <w:jc w:val="both"/>
        <w:rPr>
          <w:rFonts w:ascii="Times New Roman" w:hAnsi="Times New Roman" w:cs="Times New Roman"/>
          <w:sz w:val="20"/>
          <w:szCs w:val="20"/>
        </w:rPr>
      </w:pPr>
      <w:r w:rsidRPr="001F3967">
        <w:rPr>
          <w:rFonts w:ascii="Times New Roman" w:hAnsi="Times New Roman" w:cs="Times New Roman"/>
          <w:sz w:val="20"/>
          <w:szCs w:val="20"/>
        </w:rPr>
        <w:t>Where:</w:t>
      </w:r>
    </w:p>
    <w:p w14:paraId="60398D11" w14:textId="77777777" w:rsidR="007D4975" w:rsidRPr="001F3967" w:rsidRDefault="007D4975" w:rsidP="007D4975">
      <w:pPr>
        <w:spacing w:after="0" w:line="240" w:lineRule="auto"/>
        <w:jc w:val="both"/>
        <w:rPr>
          <w:rFonts w:ascii="Times New Roman" w:hAnsi="Times New Roman" w:cs="Times New Roman"/>
          <w:sz w:val="20"/>
          <w:szCs w:val="20"/>
        </w:rPr>
      </w:pPr>
    </w:p>
    <w:p w14:paraId="1AE5AF6D" w14:textId="77777777" w:rsidR="007D4975" w:rsidRPr="001F3967" w:rsidRDefault="007D4975" w:rsidP="007D4975">
      <w:pPr>
        <w:spacing w:after="0" w:line="240" w:lineRule="auto"/>
        <w:jc w:val="both"/>
        <w:rPr>
          <w:rFonts w:ascii="Times New Roman" w:hAnsi="Times New Roman" w:cs="Times New Roman"/>
          <w:sz w:val="20"/>
          <w:szCs w:val="20"/>
        </w:rPr>
      </w:pPr>
      <w:r w:rsidRPr="001F3967">
        <w:rPr>
          <w:rFonts w:ascii="Times New Roman" w:hAnsi="Times New Roman" w:cs="Times New Roman"/>
          <w:sz w:val="20"/>
          <w:szCs w:val="20"/>
        </w:rPr>
        <w:t>Y = Organizational Resilience</w:t>
      </w:r>
    </w:p>
    <w:p w14:paraId="08BCF113" w14:textId="77777777" w:rsidR="007D4975" w:rsidRPr="001F3967" w:rsidRDefault="007D4975" w:rsidP="007D4975">
      <w:pPr>
        <w:spacing w:after="0" w:line="240" w:lineRule="auto"/>
        <w:jc w:val="both"/>
        <w:rPr>
          <w:rFonts w:ascii="Times New Roman" w:hAnsi="Times New Roman" w:cs="Times New Roman"/>
          <w:sz w:val="20"/>
          <w:szCs w:val="20"/>
        </w:rPr>
      </w:pPr>
      <w:r w:rsidRPr="001F3967">
        <w:rPr>
          <w:rFonts w:ascii="Times New Roman" w:hAnsi="Times New Roman" w:cs="Times New Roman"/>
          <w:sz w:val="20"/>
          <w:szCs w:val="20"/>
        </w:rPr>
        <w:t>X1 = Financial Sustainability</w:t>
      </w:r>
    </w:p>
    <w:p w14:paraId="66DDFAC5" w14:textId="77777777" w:rsidR="007D4975" w:rsidRPr="001F3967" w:rsidRDefault="007D4975" w:rsidP="007D4975">
      <w:pPr>
        <w:spacing w:after="0" w:line="240" w:lineRule="auto"/>
        <w:jc w:val="both"/>
        <w:rPr>
          <w:rFonts w:ascii="Times New Roman" w:hAnsi="Times New Roman" w:cs="Times New Roman"/>
          <w:sz w:val="20"/>
          <w:szCs w:val="20"/>
        </w:rPr>
      </w:pPr>
      <w:r w:rsidRPr="001F3967">
        <w:rPr>
          <w:rFonts w:ascii="Times New Roman" w:hAnsi="Times New Roman" w:cs="Times New Roman"/>
          <w:sz w:val="20"/>
          <w:szCs w:val="20"/>
        </w:rPr>
        <w:t>X2 = Revenue Diversification</w:t>
      </w:r>
    </w:p>
    <w:p w14:paraId="75473176" w14:textId="77777777" w:rsidR="007D4975" w:rsidRPr="001F3967" w:rsidRDefault="007D4975" w:rsidP="007D4975">
      <w:pPr>
        <w:spacing w:after="0" w:line="240" w:lineRule="auto"/>
        <w:jc w:val="both"/>
        <w:rPr>
          <w:rFonts w:ascii="Times New Roman" w:hAnsi="Times New Roman" w:cs="Times New Roman"/>
          <w:sz w:val="20"/>
          <w:szCs w:val="20"/>
        </w:rPr>
      </w:pPr>
      <w:r w:rsidRPr="001F3967">
        <w:rPr>
          <w:rFonts w:ascii="Times New Roman" w:hAnsi="Times New Roman" w:cs="Times New Roman"/>
          <w:sz w:val="20"/>
          <w:szCs w:val="20"/>
        </w:rPr>
        <w:t>X3 = Leadership Quality</w:t>
      </w:r>
    </w:p>
    <w:p w14:paraId="327BBBBE" w14:textId="77777777" w:rsidR="007D4975" w:rsidRPr="001F3967" w:rsidRDefault="007D4975" w:rsidP="007D4975">
      <w:pPr>
        <w:spacing w:after="0" w:line="240" w:lineRule="auto"/>
        <w:jc w:val="both"/>
        <w:rPr>
          <w:rFonts w:ascii="Times New Roman" w:hAnsi="Times New Roman" w:cs="Times New Roman"/>
          <w:sz w:val="20"/>
          <w:szCs w:val="20"/>
        </w:rPr>
      </w:pPr>
      <w:r w:rsidRPr="001F3967">
        <w:rPr>
          <w:rFonts w:ascii="Times New Roman" w:hAnsi="Times New Roman" w:cs="Times New Roman"/>
          <w:sz w:val="20"/>
          <w:szCs w:val="20"/>
        </w:rPr>
        <w:t>X4 = Organizational Capacity</w:t>
      </w:r>
    </w:p>
    <w:p w14:paraId="1855DDB7" w14:textId="77777777" w:rsidR="007D4975" w:rsidRPr="001F3967" w:rsidRDefault="007D4975" w:rsidP="007D4975">
      <w:pPr>
        <w:spacing w:after="0" w:line="240" w:lineRule="auto"/>
        <w:jc w:val="both"/>
        <w:rPr>
          <w:rFonts w:ascii="Times New Roman" w:hAnsi="Times New Roman" w:cs="Times New Roman"/>
          <w:sz w:val="20"/>
          <w:szCs w:val="20"/>
        </w:rPr>
      </w:pPr>
      <w:r w:rsidRPr="001F3967">
        <w:rPr>
          <w:rFonts w:ascii="Times New Roman" w:hAnsi="Times New Roman" w:cs="Times New Roman"/>
          <w:sz w:val="20"/>
          <w:szCs w:val="20"/>
        </w:rPr>
        <w:t>X5 = Market Demand</w:t>
      </w:r>
    </w:p>
    <w:p w14:paraId="52BE1079" w14:textId="77777777" w:rsidR="007D4975" w:rsidRPr="001F3967" w:rsidRDefault="007D4975" w:rsidP="007D4975">
      <w:pPr>
        <w:spacing w:after="0" w:line="240" w:lineRule="auto"/>
        <w:jc w:val="both"/>
        <w:rPr>
          <w:rFonts w:ascii="Times New Roman" w:hAnsi="Times New Roman" w:cs="Times New Roman"/>
          <w:sz w:val="20"/>
          <w:szCs w:val="20"/>
        </w:rPr>
      </w:pPr>
      <w:r w:rsidRPr="001F3967">
        <w:rPr>
          <w:rFonts w:ascii="Times New Roman" w:hAnsi="Times New Roman" w:cs="Times New Roman"/>
          <w:sz w:val="20"/>
          <w:szCs w:val="20"/>
        </w:rPr>
        <w:t>β = Regression coefficients</w:t>
      </w:r>
    </w:p>
    <w:p w14:paraId="491AB2E0" w14:textId="77777777" w:rsidR="007D4975" w:rsidRPr="001F3967" w:rsidRDefault="007D4975" w:rsidP="007D4975">
      <w:pPr>
        <w:spacing w:after="0" w:line="240" w:lineRule="auto"/>
        <w:jc w:val="both"/>
        <w:rPr>
          <w:rFonts w:ascii="Times New Roman" w:hAnsi="Times New Roman" w:cs="Times New Roman"/>
          <w:sz w:val="20"/>
          <w:szCs w:val="20"/>
        </w:rPr>
      </w:pPr>
      <w:r w:rsidRPr="001F3967">
        <w:rPr>
          <w:rFonts w:ascii="Times New Roman" w:hAnsi="Times New Roman" w:cs="Times New Roman"/>
          <w:sz w:val="20"/>
          <w:szCs w:val="20"/>
        </w:rPr>
        <w:t>ε = Error term</w:t>
      </w:r>
    </w:p>
    <w:p w14:paraId="204D0C99" w14:textId="77777777" w:rsidR="007D4975" w:rsidRPr="001F3967" w:rsidRDefault="007D4975" w:rsidP="007D4975">
      <w:pPr>
        <w:spacing w:after="0" w:line="240" w:lineRule="auto"/>
        <w:jc w:val="both"/>
        <w:rPr>
          <w:rFonts w:ascii="Times New Roman" w:hAnsi="Times New Roman" w:cs="Times New Roman"/>
          <w:sz w:val="20"/>
          <w:szCs w:val="20"/>
        </w:rPr>
      </w:pPr>
    </w:p>
    <w:p w14:paraId="54A8AE57" w14:textId="2035A783" w:rsidR="00CD17A4" w:rsidRPr="001F3967" w:rsidRDefault="007D4975" w:rsidP="004442D3">
      <w:pPr>
        <w:spacing w:after="0" w:line="240" w:lineRule="auto"/>
        <w:ind w:firstLine="284"/>
        <w:jc w:val="both"/>
        <w:rPr>
          <w:rFonts w:ascii="Times New Roman" w:hAnsi="Times New Roman" w:cs="Times New Roman"/>
          <w:b/>
          <w:bCs/>
          <w:sz w:val="20"/>
          <w:szCs w:val="20"/>
        </w:rPr>
      </w:pPr>
      <w:r w:rsidRPr="001F3967">
        <w:rPr>
          <w:rFonts w:ascii="Times New Roman" w:hAnsi="Times New Roman" w:cs="Times New Roman"/>
          <w:sz w:val="20"/>
          <w:szCs w:val="20"/>
        </w:rPr>
        <w:t>Statistical significance was set at p &lt; 0.05, and multicollinearity was checked through Variance Inflation Factor (VIF) values, all of which were within acceptable thresholds.</w:t>
      </w:r>
    </w:p>
    <w:p w14:paraId="1DCA9FD7" w14:textId="77777777" w:rsidR="00CD17A4" w:rsidRPr="001F3967" w:rsidRDefault="00CD17A4" w:rsidP="00A27EC4">
      <w:pPr>
        <w:spacing w:after="0" w:line="240" w:lineRule="auto"/>
        <w:jc w:val="both"/>
        <w:rPr>
          <w:rFonts w:ascii="Times New Roman" w:hAnsi="Times New Roman" w:cs="Times New Roman"/>
          <w:b/>
          <w:bCs/>
          <w:sz w:val="20"/>
          <w:szCs w:val="20"/>
        </w:rPr>
      </w:pPr>
    </w:p>
    <w:p w14:paraId="053FE3C6" w14:textId="4A689C99" w:rsidR="00231974" w:rsidRPr="001F3967" w:rsidRDefault="00231974" w:rsidP="00A27EC4">
      <w:pPr>
        <w:spacing w:after="0" w:line="240" w:lineRule="auto"/>
        <w:jc w:val="both"/>
        <w:rPr>
          <w:rFonts w:ascii="Times New Roman" w:hAnsi="Times New Roman" w:cs="Times New Roman"/>
          <w:b/>
          <w:bCs/>
          <w:sz w:val="20"/>
          <w:szCs w:val="20"/>
        </w:rPr>
      </w:pPr>
      <w:r w:rsidRPr="001F3967">
        <w:rPr>
          <w:rFonts w:ascii="Times New Roman" w:hAnsi="Times New Roman" w:cs="Times New Roman"/>
          <w:b/>
          <w:bCs/>
          <w:sz w:val="20"/>
          <w:szCs w:val="20"/>
        </w:rPr>
        <w:t>3.5</w:t>
      </w:r>
      <w:r w:rsidRPr="001F3967">
        <w:rPr>
          <w:rFonts w:ascii="Times New Roman" w:hAnsi="Times New Roman" w:cs="Times New Roman"/>
          <w:b/>
          <w:bCs/>
          <w:sz w:val="20"/>
          <w:szCs w:val="20"/>
        </w:rPr>
        <w:tab/>
        <w:t>Validity and Reliability</w:t>
      </w:r>
    </w:p>
    <w:p w14:paraId="2D6EFA51" w14:textId="77777777" w:rsidR="0099081F" w:rsidRPr="001F3967" w:rsidRDefault="0099081F" w:rsidP="00A27EC4">
      <w:pPr>
        <w:spacing w:after="0" w:line="240" w:lineRule="auto"/>
        <w:jc w:val="both"/>
        <w:rPr>
          <w:rFonts w:ascii="Times New Roman" w:hAnsi="Times New Roman" w:cs="Times New Roman"/>
          <w:sz w:val="20"/>
          <w:szCs w:val="20"/>
        </w:rPr>
      </w:pPr>
    </w:p>
    <w:p w14:paraId="1D320C35" w14:textId="77777777" w:rsidR="00495822" w:rsidRPr="001F3967" w:rsidRDefault="00495822" w:rsidP="00495822">
      <w:pPr>
        <w:spacing w:after="0" w:line="240" w:lineRule="auto"/>
        <w:jc w:val="both"/>
        <w:rPr>
          <w:rFonts w:ascii="Times New Roman" w:hAnsi="Times New Roman" w:cs="Times New Roman"/>
          <w:sz w:val="20"/>
          <w:szCs w:val="20"/>
        </w:rPr>
      </w:pPr>
      <w:r w:rsidRPr="001F3967">
        <w:rPr>
          <w:rFonts w:ascii="Times New Roman" w:hAnsi="Times New Roman" w:cs="Times New Roman"/>
          <w:sz w:val="20"/>
          <w:szCs w:val="20"/>
        </w:rPr>
        <w:t>Reliability refers to the consistency of measurement, while validity concerns whether the instrument measures what it purports to measure. Both were rigorously evaluated in this study.</w:t>
      </w:r>
    </w:p>
    <w:p w14:paraId="240B0EAB" w14:textId="77777777" w:rsidR="00495822" w:rsidRPr="001F3967" w:rsidRDefault="00495822" w:rsidP="00495822">
      <w:pPr>
        <w:spacing w:after="0" w:line="240" w:lineRule="auto"/>
        <w:jc w:val="both"/>
        <w:rPr>
          <w:rFonts w:ascii="Times New Roman" w:hAnsi="Times New Roman" w:cs="Times New Roman"/>
          <w:sz w:val="20"/>
          <w:szCs w:val="20"/>
        </w:rPr>
      </w:pPr>
    </w:p>
    <w:p w14:paraId="573E7F8D" w14:textId="242319CD" w:rsidR="00495822" w:rsidRPr="001F3967" w:rsidRDefault="00495822" w:rsidP="004442D3">
      <w:pPr>
        <w:spacing w:after="0" w:line="240" w:lineRule="auto"/>
        <w:ind w:left="567"/>
        <w:jc w:val="both"/>
        <w:rPr>
          <w:rFonts w:ascii="Times New Roman" w:hAnsi="Times New Roman" w:cs="Times New Roman"/>
          <w:sz w:val="20"/>
          <w:szCs w:val="20"/>
        </w:rPr>
      </w:pPr>
      <w:r w:rsidRPr="001F3967">
        <w:rPr>
          <w:rFonts w:ascii="Times New Roman" w:hAnsi="Times New Roman" w:cs="Times New Roman"/>
          <w:sz w:val="20"/>
          <w:szCs w:val="20"/>
        </w:rPr>
        <w:t>3.5.1.</w:t>
      </w:r>
      <w:r w:rsidRPr="001F3967">
        <w:rPr>
          <w:rFonts w:ascii="Times New Roman" w:hAnsi="Times New Roman" w:cs="Times New Roman"/>
          <w:sz w:val="20"/>
          <w:szCs w:val="20"/>
        </w:rPr>
        <w:tab/>
        <w:t>Reliability</w:t>
      </w:r>
    </w:p>
    <w:p w14:paraId="23E0C329" w14:textId="48640C4D" w:rsidR="00E03843" w:rsidRPr="001F3967" w:rsidRDefault="00495822" w:rsidP="00DD2E30">
      <w:pPr>
        <w:spacing w:after="0" w:line="240" w:lineRule="auto"/>
        <w:ind w:left="1418"/>
        <w:jc w:val="both"/>
        <w:rPr>
          <w:rFonts w:ascii="Times New Roman" w:hAnsi="Times New Roman" w:cs="Times New Roman"/>
          <w:sz w:val="20"/>
          <w:szCs w:val="20"/>
        </w:rPr>
      </w:pPr>
      <w:r w:rsidRPr="001F3967">
        <w:rPr>
          <w:rFonts w:ascii="Times New Roman" w:hAnsi="Times New Roman" w:cs="Times New Roman"/>
          <w:sz w:val="20"/>
          <w:szCs w:val="20"/>
        </w:rPr>
        <w:t>The overall reliability for the constructs was confirmed through Cronbach’s alpha:</w:t>
      </w:r>
    </w:p>
    <w:p w14:paraId="66899CF7" w14:textId="39A3E857" w:rsidR="00495822" w:rsidRDefault="00495822" w:rsidP="00495822">
      <w:pPr>
        <w:spacing w:after="0" w:line="240" w:lineRule="auto"/>
        <w:jc w:val="both"/>
        <w:rPr>
          <w:rFonts w:ascii="Times New Roman" w:hAnsi="Times New Roman" w:cs="Times New Roman"/>
          <w:sz w:val="20"/>
          <w:szCs w:val="20"/>
        </w:rPr>
      </w:pPr>
    </w:p>
    <w:p w14:paraId="60152706" w14:textId="2686EDB8" w:rsidR="001F3967" w:rsidRDefault="001F3967" w:rsidP="00495822">
      <w:pPr>
        <w:spacing w:after="0" w:line="240" w:lineRule="auto"/>
        <w:jc w:val="both"/>
        <w:rPr>
          <w:rFonts w:ascii="Times New Roman" w:hAnsi="Times New Roman" w:cs="Times New Roman"/>
          <w:sz w:val="20"/>
          <w:szCs w:val="20"/>
        </w:rPr>
      </w:pPr>
    </w:p>
    <w:p w14:paraId="215A6BD6" w14:textId="24E7A8DE" w:rsidR="001F3967" w:rsidRDefault="001F3967" w:rsidP="00495822">
      <w:pPr>
        <w:spacing w:after="0" w:line="240" w:lineRule="auto"/>
        <w:jc w:val="both"/>
        <w:rPr>
          <w:rFonts w:ascii="Times New Roman" w:hAnsi="Times New Roman" w:cs="Times New Roman"/>
          <w:sz w:val="20"/>
          <w:szCs w:val="20"/>
        </w:rPr>
      </w:pPr>
    </w:p>
    <w:p w14:paraId="664601FF" w14:textId="26C77A11" w:rsidR="001F3967" w:rsidRDefault="001F3967" w:rsidP="00495822">
      <w:pPr>
        <w:spacing w:after="0" w:line="240" w:lineRule="auto"/>
        <w:jc w:val="both"/>
        <w:rPr>
          <w:rFonts w:ascii="Times New Roman" w:hAnsi="Times New Roman" w:cs="Times New Roman"/>
          <w:sz w:val="20"/>
          <w:szCs w:val="20"/>
        </w:rPr>
      </w:pPr>
    </w:p>
    <w:p w14:paraId="4DA29D44" w14:textId="7278114B" w:rsidR="001F3967" w:rsidRDefault="001F3967" w:rsidP="00495822">
      <w:pPr>
        <w:spacing w:after="0" w:line="240" w:lineRule="auto"/>
        <w:jc w:val="both"/>
        <w:rPr>
          <w:rFonts w:ascii="Times New Roman" w:hAnsi="Times New Roman" w:cs="Times New Roman"/>
          <w:sz w:val="20"/>
          <w:szCs w:val="20"/>
        </w:rPr>
      </w:pPr>
    </w:p>
    <w:p w14:paraId="033C510D" w14:textId="3BFE1B4B" w:rsidR="001F3967" w:rsidRDefault="001F3967" w:rsidP="00495822">
      <w:pPr>
        <w:spacing w:after="0" w:line="240" w:lineRule="auto"/>
        <w:jc w:val="both"/>
        <w:rPr>
          <w:rFonts w:ascii="Times New Roman" w:hAnsi="Times New Roman" w:cs="Times New Roman"/>
          <w:sz w:val="20"/>
          <w:szCs w:val="20"/>
        </w:rPr>
      </w:pPr>
    </w:p>
    <w:p w14:paraId="1E69CF3D" w14:textId="5C400A1C" w:rsidR="001F3967" w:rsidRDefault="001F3967" w:rsidP="00495822">
      <w:pPr>
        <w:spacing w:after="0" w:line="240" w:lineRule="auto"/>
        <w:jc w:val="both"/>
        <w:rPr>
          <w:rFonts w:ascii="Times New Roman" w:hAnsi="Times New Roman" w:cs="Times New Roman"/>
          <w:sz w:val="20"/>
          <w:szCs w:val="20"/>
        </w:rPr>
      </w:pPr>
    </w:p>
    <w:p w14:paraId="1FD0C1CB" w14:textId="26A7589F" w:rsidR="001F3967" w:rsidRDefault="001F3967" w:rsidP="00495822">
      <w:pPr>
        <w:spacing w:after="0" w:line="240" w:lineRule="auto"/>
        <w:jc w:val="both"/>
        <w:rPr>
          <w:rFonts w:ascii="Times New Roman" w:hAnsi="Times New Roman" w:cs="Times New Roman"/>
          <w:sz w:val="20"/>
          <w:szCs w:val="20"/>
        </w:rPr>
      </w:pPr>
    </w:p>
    <w:p w14:paraId="7CFF975C" w14:textId="745EAF30" w:rsidR="001F3967" w:rsidRDefault="001F3967" w:rsidP="00495822">
      <w:pPr>
        <w:spacing w:after="0" w:line="240" w:lineRule="auto"/>
        <w:jc w:val="both"/>
        <w:rPr>
          <w:rFonts w:ascii="Times New Roman" w:hAnsi="Times New Roman" w:cs="Times New Roman"/>
          <w:sz w:val="20"/>
          <w:szCs w:val="20"/>
        </w:rPr>
      </w:pPr>
    </w:p>
    <w:p w14:paraId="6F73AD8F" w14:textId="43D64128" w:rsidR="001F3967" w:rsidRDefault="001F3967" w:rsidP="00495822">
      <w:pPr>
        <w:spacing w:after="0" w:line="240" w:lineRule="auto"/>
        <w:jc w:val="both"/>
        <w:rPr>
          <w:rFonts w:ascii="Times New Roman" w:hAnsi="Times New Roman" w:cs="Times New Roman"/>
          <w:sz w:val="20"/>
          <w:szCs w:val="20"/>
        </w:rPr>
      </w:pPr>
    </w:p>
    <w:p w14:paraId="0D8E7F44" w14:textId="77777777" w:rsidR="001F3967" w:rsidRPr="001F3967" w:rsidRDefault="001F3967" w:rsidP="00495822">
      <w:pPr>
        <w:spacing w:after="0" w:line="240" w:lineRule="auto"/>
        <w:jc w:val="both"/>
        <w:rPr>
          <w:rFonts w:ascii="Times New Roman" w:hAnsi="Times New Roman" w:cs="Times New Roman"/>
          <w:sz w:val="20"/>
          <w:szCs w:val="20"/>
        </w:rPr>
      </w:pPr>
    </w:p>
    <w:p w14:paraId="6B11B717" w14:textId="77777777" w:rsidR="000867EF" w:rsidRPr="001F3967" w:rsidRDefault="000867EF" w:rsidP="000867EF">
      <w:pPr>
        <w:spacing w:line="240" w:lineRule="auto"/>
        <w:jc w:val="both"/>
        <w:rPr>
          <w:rFonts w:ascii="Times New Roman" w:hAnsi="Times New Roman" w:cs="Times New Roman"/>
          <w:i/>
          <w:sz w:val="20"/>
          <w:szCs w:val="20"/>
        </w:rPr>
      </w:pPr>
      <w:r w:rsidRPr="001F3967">
        <w:rPr>
          <w:rFonts w:ascii="Times New Roman" w:hAnsi="Times New Roman" w:cs="Times New Roman"/>
          <w:i/>
          <w:sz w:val="20"/>
          <w:szCs w:val="20"/>
        </w:rPr>
        <w:lastRenderedPageBreak/>
        <w:t>Cronbach’s Alpha</w:t>
      </w:r>
    </w:p>
    <w:tbl>
      <w:tblPr>
        <w:tblW w:w="8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29"/>
        <w:gridCol w:w="1856"/>
        <w:gridCol w:w="2574"/>
      </w:tblGrid>
      <w:tr w:rsidR="00EB05EB" w:rsidRPr="001F3967" w14:paraId="3AAF3524" w14:textId="77777777" w:rsidTr="00755344">
        <w:trPr>
          <w:cantSplit/>
          <w:trHeight w:val="364"/>
        </w:trPr>
        <w:tc>
          <w:tcPr>
            <w:tcW w:w="3629" w:type="dxa"/>
            <w:tcBorders>
              <w:top w:val="single" w:sz="4" w:space="0" w:color="auto"/>
              <w:left w:val="nil"/>
              <w:bottom w:val="single" w:sz="4" w:space="0" w:color="auto"/>
              <w:right w:val="nil"/>
            </w:tcBorders>
            <w:shd w:val="clear" w:color="auto" w:fill="FFFFFF"/>
          </w:tcPr>
          <w:p w14:paraId="563E87DF" w14:textId="3636897C" w:rsidR="000867EF" w:rsidRPr="001F3967" w:rsidRDefault="00755344" w:rsidP="001F3967">
            <w:pPr>
              <w:pStyle w:val="ListParagraph"/>
              <w:spacing w:after="160"/>
              <w:ind w:left="426" w:right="60"/>
              <w:rPr>
                <w:rFonts w:ascii="Times New Roman" w:hAnsi="Times New Roman" w:cs="Times New Roman"/>
                <w:sz w:val="20"/>
                <w:szCs w:val="20"/>
              </w:rPr>
            </w:pPr>
            <w:r w:rsidRPr="001F3967">
              <w:rPr>
                <w:rFonts w:ascii="Times New Roman" w:hAnsi="Times New Roman" w:cs="Times New Roman"/>
                <w:sz w:val="20"/>
                <w:szCs w:val="20"/>
              </w:rPr>
              <w:t>Variable</w:t>
            </w:r>
          </w:p>
        </w:tc>
        <w:tc>
          <w:tcPr>
            <w:tcW w:w="1856" w:type="dxa"/>
            <w:tcBorders>
              <w:top w:val="single" w:sz="4" w:space="0" w:color="auto"/>
              <w:left w:val="nil"/>
              <w:bottom w:val="single" w:sz="4" w:space="0" w:color="auto"/>
              <w:right w:val="nil"/>
            </w:tcBorders>
            <w:shd w:val="clear" w:color="auto" w:fill="FFFFFF"/>
          </w:tcPr>
          <w:p w14:paraId="1AFC9DD9" w14:textId="244138EF" w:rsidR="000867EF" w:rsidRPr="00755344" w:rsidRDefault="000867EF" w:rsidP="00755344">
            <w:pPr>
              <w:ind w:right="60"/>
              <w:rPr>
                <w:rFonts w:ascii="Times New Roman" w:hAnsi="Times New Roman" w:cs="Times New Roman"/>
                <w:sz w:val="20"/>
                <w:szCs w:val="20"/>
              </w:rPr>
            </w:pPr>
          </w:p>
        </w:tc>
        <w:tc>
          <w:tcPr>
            <w:tcW w:w="2574" w:type="dxa"/>
            <w:tcBorders>
              <w:top w:val="single" w:sz="4" w:space="0" w:color="auto"/>
              <w:left w:val="nil"/>
              <w:bottom w:val="single" w:sz="4" w:space="0" w:color="auto"/>
              <w:right w:val="nil"/>
            </w:tcBorders>
            <w:shd w:val="clear" w:color="auto" w:fill="FFFFFF"/>
          </w:tcPr>
          <w:p w14:paraId="66A76EE8" w14:textId="03C2F6FE" w:rsidR="000867EF" w:rsidRPr="00755344" w:rsidRDefault="00755344" w:rsidP="00755344">
            <w:pPr>
              <w:ind w:right="60"/>
              <w:jc w:val="center"/>
              <w:rPr>
                <w:rFonts w:ascii="Times New Roman" w:hAnsi="Times New Roman" w:cs="Times New Roman"/>
                <w:sz w:val="20"/>
                <w:szCs w:val="20"/>
              </w:rPr>
            </w:pPr>
            <w:r w:rsidRPr="00755344">
              <w:rPr>
                <w:rFonts w:ascii="Times New Roman" w:hAnsi="Times New Roman" w:cs="Times New Roman"/>
                <w:sz w:val="20"/>
                <w:szCs w:val="20"/>
              </w:rPr>
              <w:t>Cronbach’s Alpha</w:t>
            </w:r>
          </w:p>
        </w:tc>
      </w:tr>
      <w:tr w:rsidR="001F3967" w:rsidRPr="001F3967" w14:paraId="131537C0" w14:textId="77777777" w:rsidTr="001F3967">
        <w:trPr>
          <w:cantSplit/>
          <w:trHeight w:val="1437"/>
        </w:trPr>
        <w:tc>
          <w:tcPr>
            <w:tcW w:w="3629" w:type="dxa"/>
            <w:tcBorders>
              <w:top w:val="single" w:sz="4" w:space="0" w:color="auto"/>
              <w:left w:val="nil"/>
              <w:right w:val="nil"/>
            </w:tcBorders>
            <w:shd w:val="clear" w:color="auto" w:fill="FFFFFF"/>
          </w:tcPr>
          <w:p w14:paraId="489411E5" w14:textId="77777777" w:rsidR="001F3967" w:rsidRPr="001F3967" w:rsidRDefault="001F3967" w:rsidP="001F3967">
            <w:pPr>
              <w:pStyle w:val="ListParagraph"/>
              <w:numPr>
                <w:ilvl w:val="0"/>
                <w:numId w:val="31"/>
              </w:numPr>
              <w:spacing w:after="160"/>
              <w:ind w:right="60"/>
              <w:rPr>
                <w:rFonts w:ascii="Times New Roman" w:hAnsi="Times New Roman" w:cs="Times New Roman"/>
                <w:sz w:val="20"/>
                <w:szCs w:val="20"/>
              </w:rPr>
            </w:pPr>
            <w:r w:rsidRPr="001F3967">
              <w:rPr>
                <w:rFonts w:ascii="Times New Roman" w:hAnsi="Times New Roman" w:cs="Times New Roman"/>
                <w:sz w:val="20"/>
                <w:szCs w:val="20"/>
              </w:rPr>
              <w:t>Leadership Quality</w:t>
            </w:r>
          </w:p>
          <w:p w14:paraId="737F6B36" w14:textId="77777777" w:rsidR="001F3967" w:rsidRPr="001F3967" w:rsidRDefault="001F3967" w:rsidP="001F3967">
            <w:pPr>
              <w:pStyle w:val="ListParagraph"/>
              <w:numPr>
                <w:ilvl w:val="0"/>
                <w:numId w:val="31"/>
              </w:numPr>
              <w:spacing w:after="160"/>
              <w:ind w:right="60"/>
              <w:rPr>
                <w:rFonts w:ascii="Times New Roman" w:hAnsi="Times New Roman" w:cs="Times New Roman"/>
                <w:sz w:val="20"/>
                <w:szCs w:val="20"/>
              </w:rPr>
            </w:pPr>
            <w:r w:rsidRPr="001F3967">
              <w:rPr>
                <w:rFonts w:ascii="Times New Roman" w:hAnsi="Times New Roman" w:cs="Times New Roman"/>
                <w:sz w:val="20"/>
                <w:szCs w:val="20"/>
              </w:rPr>
              <w:t>Revenue Diversification</w:t>
            </w:r>
          </w:p>
          <w:p w14:paraId="7A40DB78" w14:textId="77777777" w:rsidR="001F3967" w:rsidRPr="001F3967" w:rsidRDefault="001F3967" w:rsidP="001F3967">
            <w:pPr>
              <w:pStyle w:val="ListParagraph"/>
              <w:numPr>
                <w:ilvl w:val="0"/>
                <w:numId w:val="31"/>
              </w:numPr>
              <w:spacing w:after="160"/>
              <w:ind w:right="60"/>
              <w:rPr>
                <w:rFonts w:ascii="Times New Roman" w:hAnsi="Times New Roman" w:cs="Times New Roman"/>
                <w:sz w:val="20"/>
                <w:szCs w:val="20"/>
              </w:rPr>
            </w:pPr>
            <w:r w:rsidRPr="001F3967">
              <w:rPr>
                <w:rFonts w:ascii="Times New Roman" w:hAnsi="Times New Roman" w:cs="Times New Roman"/>
                <w:sz w:val="20"/>
                <w:szCs w:val="20"/>
              </w:rPr>
              <w:t>Financial Sustainability</w:t>
            </w:r>
          </w:p>
          <w:p w14:paraId="25307751" w14:textId="77777777" w:rsidR="001F3967" w:rsidRPr="001F3967" w:rsidRDefault="001F3967" w:rsidP="001F3967">
            <w:pPr>
              <w:pStyle w:val="ListParagraph"/>
              <w:numPr>
                <w:ilvl w:val="0"/>
                <w:numId w:val="31"/>
              </w:numPr>
              <w:spacing w:after="160"/>
              <w:ind w:left="426" w:right="60" w:hanging="66"/>
              <w:rPr>
                <w:rFonts w:ascii="Times New Roman" w:hAnsi="Times New Roman" w:cs="Times New Roman"/>
                <w:sz w:val="20"/>
                <w:szCs w:val="20"/>
              </w:rPr>
            </w:pPr>
            <w:r w:rsidRPr="001F3967">
              <w:rPr>
                <w:rFonts w:ascii="Times New Roman" w:hAnsi="Times New Roman" w:cs="Times New Roman"/>
                <w:sz w:val="20"/>
                <w:szCs w:val="20"/>
              </w:rPr>
              <w:t>Organizational Capacity</w:t>
            </w:r>
          </w:p>
          <w:p w14:paraId="4F5E277B" w14:textId="77777777" w:rsidR="001F3967" w:rsidRPr="001F3967" w:rsidRDefault="001F3967" w:rsidP="001F3967">
            <w:pPr>
              <w:pStyle w:val="ListParagraph"/>
              <w:numPr>
                <w:ilvl w:val="0"/>
                <w:numId w:val="31"/>
              </w:numPr>
              <w:spacing w:after="160"/>
              <w:ind w:left="426" w:right="60" w:hanging="66"/>
              <w:rPr>
                <w:rFonts w:ascii="Times New Roman" w:hAnsi="Times New Roman" w:cs="Times New Roman"/>
                <w:sz w:val="20"/>
                <w:szCs w:val="20"/>
              </w:rPr>
            </w:pPr>
            <w:r w:rsidRPr="001F3967">
              <w:rPr>
                <w:rFonts w:ascii="Times New Roman" w:hAnsi="Times New Roman" w:cs="Times New Roman"/>
                <w:sz w:val="20"/>
                <w:szCs w:val="20"/>
              </w:rPr>
              <w:t>Market Demand</w:t>
            </w:r>
          </w:p>
          <w:p w14:paraId="173F6676" w14:textId="6A1D7757" w:rsidR="001F3967" w:rsidRPr="001F3967" w:rsidRDefault="001F3967" w:rsidP="001F3967">
            <w:pPr>
              <w:pStyle w:val="ListParagraph"/>
              <w:spacing w:after="160"/>
              <w:ind w:right="60"/>
              <w:rPr>
                <w:rFonts w:ascii="Times New Roman" w:hAnsi="Times New Roman" w:cs="Times New Roman"/>
                <w:sz w:val="20"/>
                <w:szCs w:val="20"/>
              </w:rPr>
            </w:pPr>
            <w:r w:rsidRPr="001F3967">
              <w:rPr>
                <w:rFonts w:ascii="Times New Roman" w:hAnsi="Times New Roman" w:cs="Times New Roman"/>
                <w:sz w:val="20"/>
                <w:szCs w:val="20"/>
              </w:rPr>
              <w:t>Organizational Resilience</w:t>
            </w:r>
          </w:p>
        </w:tc>
        <w:tc>
          <w:tcPr>
            <w:tcW w:w="1856" w:type="dxa"/>
            <w:tcBorders>
              <w:top w:val="single" w:sz="4" w:space="0" w:color="auto"/>
              <w:left w:val="nil"/>
              <w:right w:val="nil"/>
            </w:tcBorders>
            <w:shd w:val="clear" w:color="auto" w:fill="FFFFFF"/>
          </w:tcPr>
          <w:p w14:paraId="764A7CEE" w14:textId="77777777" w:rsidR="001F3967" w:rsidRPr="001F3967" w:rsidRDefault="001F3967" w:rsidP="001F3967">
            <w:pPr>
              <w:pStyle w:val="ListParagraph"/>
              <w:ind w:left="426" w:right="60"/>
              <w:rPr>
                <w:rFonts w:ascii="Times New Roman" w:hAnsi="Times New Roman" w:cs="Times New Roman"/>
                <w:sz w:val="20"/>
                <w:szCs w:val="20"/>
              </w:rPr>
            </w:pPr>
          </w:p>
        </w:tc>
        <w:tc>
          <w:tcPr>
            <w:tcW w:w="2574" w:type="dxa"/>
            <w:tcBorders>
              <w:top w:val="single" w:sz="4" w:space="0" w:color="auto"/>
              <w:left w:val="nil"/>
              <w:right w:val="nil"/>
            </w:tcBorders>
            <w:shd w:val="clear" w:color="auto" w:fill="FFFFFF"/>
          </w:tcPr>
          <w:p w14:paraId="4BC1B90C" w14:textId="77777777" w:rsidR="001F3967" w:rsidRPr="001F3967" w:rsidRDefault="001F3967" w:rsidP="001F3967">
            <w:pPr>
              <w:pStyle w:val="ListParagraph"/>
              <w:ind w:left="1002" w:right="60"/>
              <w:rPr>
                <w:rFonts w:ascii="Times New Roman" w:hAnsi="Times New Roman" w:cs="Times New Roman"/>
                <w:sz w:val="20"/>
                <w:szCs w:val="20"/>
              </w:rPr>
            </w:pPr>
            <w:r w:rsidRPr="001F3967">
              <w:rPr>
                <w:rFonts w:ascii="Times New Roman" w:hAnsi="Times New Roman" w:cs="Times New Roman"/>
                <w:sz w:val="20"/>
                <w:szCs w:val="20"/>
              </w:rPr>
              <w:t>898</w:t>
            </w:r>
          </w:p>
          <w:p w14:paraId="61E4D9EC" w14:textId="77777777" w:rsidR="001F3967" w:rsidRPr="001F3967" w:rsidRDefault="001F3967" w:rsidP="001F3967">
            <w:pPr>
              <w:pStyle w:val="ListParagraph"/>
              <w:ind w:left="1002" w:right="60"/>
              <w:rPr>
                <w:rFonts w:ascii="Times New Roman" w:hAnsi="Times New Roman" w:cs="Times New Roman"/>
                <w:sz w:val="20"/>
                <w:szCs w:val="20"/>
              </w:rPr>
            </w:pPr>
            <w:r w:rsidRPr="001F3967">
              <w:rPr>
                <w:rFonts w:ascii="Times New Roman" w:hAnsi="Times New Roman" w:cs="Times New Roman"/>
                <w:sz w:val="20"/>
                <w:szCs w:val="20"/>
              </w:rPr>
              <w:t>.715</w:t>
            </w:r>
          </w:p>
          <w:p w14:paraId="23892766" w14:textId="77777777" w:rsidR="001F3967" w:rsidRPr="001F3967" w:rsidRDefault="001F3967" w:rsidP="001F3967">
            <w:pPr>
              <w:pStyle w:val="ListParagraph"/>
              <w:ind w:left="1002" w:right="60"/>
              <w:rPr>
                <w:rFonts w:ascii="Times New Roman" w:hAnsi="Times New Roman" w:cs="Times New Roman"/>
                <w:sz w:val="20"/>
                <w:szCs w:val="20"/>
              </w:rPr>
            </w:pPr>
            <w:r w:rsidRPr="001F3967">
              <w:rPr>
                <w:rFonts w:ascii="Times New Roman" w:hAnsi="Times New Roman" w:cs="Times New Roman"/>
                <w:sz w:val="20"/>
                <w:szCs w:val="20"/>
              </w:rPr>
              <w:t>.871</w:t>
            </w:r>
          </w:p>
          <w:p w14:paraId="5FB946C6" w14:textId="77777777" w:rsidR="001F3967" w:rsidRPr="001F3967" w:rsidRDefault="001F3967" w:rsidP="001F3967">
            <w:pPr>
              <w:pStyle w:val="ListParagraph"/>
              <w:ind w:left="1002" w:right="60"/>
              <w:rPr>
                <w:rFonts w:ascii="Times New Roman" w:hAnsi="Times New Roman" w:cs="Times New Roman"/>
                <w:sz w:val="20"/>
                <w:szCs w:val="20"/>
              </w:rPr>
            </w:pPr>
            <w:r w:rsidRPr="001F3967">
              <w:rPr>
                <w:rFonts w:ascii="Times New Roman" w:hAnsi="Times New Roman" w:cs="Times New Roman"/>
                <w:sz w:val="20"/>
                <w:szCs w:val="20"/>
              </w:rPr>
              <w:t>.671</w:t>
            </w:r>
          </w:p>
          <w:p w14:paraId="61DD0826" w14:textId="77777777" w:rsidR="001F3967" w:rsidRPr="001F3967" w:rsidRDefault="001F3967" w:rsidP="001F3967">
            <w:pPr>
              <w:pStyle w:val="ListParagraph"/>
              <w:ind w:left="1002" w:right="60"/>
              <w:rPr>
                <w:rFonts w:ascii="Times New Roman" w:hAnsi="Times New Roman" w:cs="Times New Roman"/>
                <w:sz w:val="20"/>
                <w:szCs w:val="20"/>
              </w:rPr>
            </w:pPr>
            <w:r w:rsidRPr="001F3967">
              <w:rPr>
                <w:rFonts w:ascii="Times New Roman" w:hAnsi="Times New Roman" w:cs="Times New Roman"/>
                <w:sz w:val="20"/>
                <w:szCs w:val="20"/>
              </w:rPr>
              <w:t>.818</w:t>
            </w:r>
          </w:p>
          <w:p w14:paraId="22A79BEA" w14:textId="778E7B0F" w:rsidR="001F3967" w:rsidRPr="001F3967" w:rsidRDefault="001F3967" w:rsidP="001F3967">
            <w:pPr>
              <w:pStyle w:val="ListParagraph"/>
              <w:ind w:left="1002" w:right="60"/>
              <w:rPr>
                <w:rFonts w:ascii="Times New Roman" w:hAnsi="Times New Roman" w:cs="Times New Roman"/>
                <w:sz w:val="20"/>
                <w:szCs w:val="20"/>
              </w:rPr>
            </w:pPr>
            <w:r w:rsidRPr="001F3967">
              <w:rPr>
                <w:rFonts w:ascii="Times New Roman" w:hAnsi="Times New Roman" w:cs="Times New Roman"/>
                <w:sz w:val="20"/>
                <w:szCs w:val="20"/>
              </w:rPr>
              <w:t>.888</w:t>
            </w:r>
          </w:p>
        </w:tc>
      </w:tr>
    </w:tbl>
    <w:p w14:paraId="7AD0DDA5" w14:textId="77777777" w:rsidR="000064FD" w:rsidRPr="001F3967" w:rsidRDefault="00AB38E9" w:rsidP="00AB38E9">
      <w:pPr>
        <w:spacing w:after="0" w:line="240" w:lineRule="auto"/>
        <w:jc w:val="center"/>
        <w:rPr>
          <w:rFonts w:ascii="Times New Roman" w:hAnsi="Times New Roman" w:cs="Times New Roman"/>
          <w:sz w:val="20"/>
          <w:szCs w:val="20"/>
        </w:rPr>
      </w:pPr>
      <w:r w:rsidRPr="001F3967">
        <w:rPr>
          <w:rFonts w:ascii="Times New Roman" w:hAnsi="Times New Roman" w:cs="Times New Roman"/>
          <w:sz w:val="20"/>
          <w:szCs w:val="20"/>
        </w:rPr>
        <w:t>Table 1</w:t>
      </w:r>
    </w:p>
    <w:p w14:paraId="34B6A3DA" w14:textId="7CAC58A0" w:rsidR="00495822" w:rsidRPr="001F3967" w:rsidRDefault="004B5403" w:rsidP="00AB38E9">
      <w:pPr>
        <w:spacing w:after="0" w:line="240" w:lineRule="auto"/>
        <w:jc w:val="center"/>
        <w:rPr>
          <w:rFonts w:ascii="Times New Roman" w:hAnsi="Times New Roman" w:cs="Times New Roman"/>
          <w:sz w:val="20"/>
          <w:szCs w:val="20"/>
        </w:rPr>
      </w:pPr>
      <w:r w:rsidRPr="001F3967">
        <w:rPr>
          <w:rFonts w:ascii="Times New Roman" w:hAnsi="Times New Roman" w:cs="Times New Roman"/>
          <w:sz w:val="20"/>
          <w:szCs w:val="20"/>
        </w:rPr>
        <w:t>Cronbach’s Alpha</w:t>
      </w:r>
    </w:p>
    <w:p w14:paraId="794C0BCB" w14:textId="77777777" w:rsidR="00AB38E9" w:rsidRPr="001F3967" w:rsidRDefault="00AB38E9" w:rsidP="00AB38E9">
      <w:pPr>
        <w:spacing w:after="0" w:line="240" w:lineRule="auto"/>
        <w:jc w:val="center"/>
        <w:rPr>
          <w:rFonts w:ascii="Times New Roman" w:hAnsi="Times New Roman" w:cs="Times New Roman"/>
          <w:sz w:val="20"/>
          <w:szCs w:val="20"/>
        </w:rPr>
      </w:pPr>
    </w:p>
    <w:p w14:paraId="5CD0E682" w14:textId="71A1952D" w:rsidR="00020E2F" w:rsidRPr="001F3967" w:rsidRDefault="00495822" w:rsidP="00495822">
      <w:pPr>
        <w:spacing w:after="0" w:line="240" w:lineRule="auto"/>
        <w:jc w:val="both"/>
        <w:rPr>
          <w:rFonts w:ascii="Times New Roman" w:hAnsi="Times New Roman" w:cs="Times New Roman"/>
          <w:sz w:val="20"/>
          <w:szCs w:val="20"/>
        </w:rPr>
      </w:pPr>
      <w:r w:rsidRPr="001F3967">
        <w:rPr>
          <w:rFonts w:ascii="Times New Roman" w:hAnsi="Times New Roman" w:cs="Times New Roman"/>
          <w:sz w:val="20"/>
          <w:szCs w:val="20"/>
        </w:rPr>
        <w:t>These scores indicate a high level of internal consistency across the constructs.</w:t>
      </w:r>
    </w:p>
    <w:p w14:paraId="5EE4D908" w14:textId="77777777" w:rsidR="00495822" w:rsidRPr="001F3967" w:rsidRDefault="00495822" w:rsidP="00495822">
      <w:pPr>
        <w:spacing w:after="0" w:line="240" w:lineRule="auto"/>
        <w:jc w:val="both"/>
        <w:rPr>
          <w:rFonts w:ascii="Times New Roman" w:hAnsi="Times New Roman" w:cs="Times New Roman"/>
          <w:i/>
          <w:iCs/>
          <w:sz w:val="20"/>
          <w:szCs w:val="20"/>
        </w:rPr>
      </w:pPr>
    </w:p>
    <w:p w14:paraId="3C230D2E" w14:textId="0B44B740" w:rsidR="00231974" w:rsidRPr="001F3967" w:rsidRDefault="00231974" w:rsidP="00A27EC4">
      <w:pPr>
        <w:spacing w:after="0" w:line="240" w:lineRule="auto"/>
        <w:rPr>
          <w:rFonts w:ascii="Times New Roman" w:hAnsi="Times New Roman" w:cs="Times New Roman"/>
          <w:b/>
          <w:bCs/>
          <w:sz w:val="20"/>
          <w:szCs w:val="20"/>
        </w:rPr>
      </w:pPr>
      <w:r w:rsidRPr="001F3967">
        <w:rPr>
          <w:rFonts w:ascii="Times New Roman" w:hAnsi="Times New Roman" w:cs="Times New Roman"/>
          <w:b/>
          <w:bCs/>
          <w:sz w:val="20"/>
          <w:szCs w:val="20"/>
        </w:rPr>
        <w:t>3.6</w:t>
      </w:r>
      <w:r w:rsidRPr="001F3967">
        <w:rPr>
          <w:rFonts w:ascii="Times New Roman" w:hAnsi="Times New Roman" w:cs="Times New Roman"/>
          <w:b/>
          <w:bCs/>
          <w:sz w:val="20"/>
          <w:szCs w:val="20"/>
        </w:rPr>
        <w:tab/>
        <w:t>Limitations of the Methodology</w:t>
      </w:r>
    </w:p>
    <w:p w14:paraId="229C478B" w14:textId="77777777" w:rsidR="004333DE" w:rsidRPr="001F3967" w:rsidRDefault="004333DE" w:rsidP="00755344">
      <w:pPr>
        <w:spacing w:after="0" w:line="240" w:lineRule="auto"/>
        <w:jc w:val="both"/>
        <w:rPr>
          <w:rFonts w:ascii="Times New Roman" w:hAnsi="Times New Roman" w:cs="Times New Roman"/>
          <w:sz w:val="20"/>
          <w:szCs w:val="20"/>
        </w:rPr>
      </w:pPr>
    </w:p>
    <w:p w14:paraId="2702A950" w14:textId="1103DCB0" w:rsidR="007C3D7E" w:rsidRPr="001F3967" w:rsidRDefault="004442D3" w:rsidP="004333DE">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 xml:space="preserve">This study has several methodological limitations. As a cross-sectional design, it captures perceptions at a single point in time and does not reflect how resilience evolves over different contexts or crises. The use of self-reported data may also introduce bias, as respondents could have varying levels of knowledge or may respond subjectively based on their roles. While the sample was stratified and drawn from diverse </w:t>
      </w:r>
      <w:r w:rsidR="00E03843" w:rsidRPr="001F3967">
        <w:rPr>
          <w:rFonts w:ascii="Times New Roman" w:hAnsi="Times New Roman" w:cs="Times New Roman"/>
          <w:sz w:val="20"/>
          <w:szCs w:val="20"/>
        </w:rPr>
        <w:t xml:space="preserve">the </w:t>
      </w:r>
      <w:r w:rsidRPr="001F3967">
        <w:rPr>
          <w:rFonts w:ascii="Times New Roman" w:hAnsi="Times New Roman" w:cs="Times New Roman"/>
          <w:sz w:val="20"/>
          <w:szCs w:val="20"/>
        </w:rPr>
        <w:t>subsidiaries, the study did not examine sector-specific differences, which may influence resilience factors.</w:t>
      </w:r>
      <w:r w:rsidR="007C3D7E" w:rsidRPr="001F3967">
        <w:rPr>
          <w:rFonts w:ascii="Times New Roman" w:hAnsi="Times New Roman" w:cs="Times New Roman"/>
          <w:sz w:val="20"/>
          <w:szCs w:val="20"/>
        </w:rPr>
        <w:t xml:space="preserve"> </w:t>
      </w:r>
      <w:r w:rsidRPr="001F3967">
        <w:rPr>
          <w:rFonts w:ascii="Times New Roman" w:hAnsi="Times New Roman" w:cs="Times New Roman"/>
          <w:sz w:val="20"/>
          <w:szCs w:val="20"/>
        </w:rPr>
        <w:t>Additionally, external influences such as political, regulatory, or economic conditions were beyond the scope of this study, even though they may significantly affect organizational resilience.</w:t>
      </w:r>
    </w:p>
    <w:p w14:paraId="07C7EA66" w14:textId="5845DC11" w:rsidR="00020E2F" w:rsidRDefault="004442D3" w:rsidP="00755344">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Despite these limitations, the study provides a solid foundation for understanding internal drivers of resilience in government-linked social enterprises.</w:t>
      </w:r>
      <w:r w:rsidR="007C3D7E" w:rsidRPr="001F3967">
        <w:rPr>
          <w:rFonts w:ascii="Times New Roman" w:hAnsi="Times New Roman" w:cs="Times New Roman"/>
          <w:sz w:val="20"/>
          <w:szCs w:val="20"/>
        </w:rPr>
        <w:t xml:space="preserve"> </w:t>
      </w:r>
      <w:r w:rsidR="004333DE" w:rsidRPr="001F3967">
        <w:rPr>
          <w:rFonts w:ascii="Times New Roman" w:hAnsi="Times New Roman" w:cs="Times New Roman"/>
          <w:sz w:val="20"/>
          <w:szCs w:val="20"/>
        </w:rPr>
        <w:t>The next section will present and analyze the findings of the study.</w:t>
      </w:r>
    </w:p>
    <w:p w14:paraId="0B185E4E" w14:textId="77777777" w:rsidR="00755344" w:rsidRPr="001F3967" w:rsidRDefault="00755344" w:rsidP="00755344">
      <w:pPr>
        <w:spacing w:after="0" w:line="240" w:lineRule="auto"/>
        <w:ind w:firstLine="284"/>
        <w:jc w:val="both"/>
        <w:rPr>
          <w:rFonts w:ascii="Times New Roman" w:hAnsi="Times New Roman" w:cs="Times New Roman"/>
          <w:sz w:val="20"/>
          <w:szCs w:val="20"/>
        </w:rPr>
      </w:pPr>
    </w:p>
    <w:p w14:paraId="7787BC9C" w14:textId="77777777" w:rsidR="004442D3" w:rsidRPr="001F3967" w:rsidRDefault="00EA3A86" w:rsidP="00A27EC4">
      <w:pPr>
        <w:pStyle w:val="HeaderL1"/>
        <w:ind w:left="567" w:hanging="567"/>
        <w:rPr>
          <w:rFonts w:ascii="Times New Roman" w:hAnsi="Times New Roman" w:cs="Times New Roman"/>
          <w:b w:val="0"/>
          <w:bCs w:val="0"/>
          <w:sz w:val="20"/>
          <w:szCs w:val="20"/>
        </w:rPr>
      </w:pPr>
      <w:r w:rsidRPr="001F3967">
        <w:rPr>
          <w:rFonts w:ascii="Times New Roman" w:hAnsi="Times New Roman" w:cs="Times New Roman"/>
          <w:sz w:val="20"/>
          <w:szCs w:val="20"/>
        </w:rPr>
        <w:t xml:space="preserve">ANALYSIS </w:t>
      </w:r>
      <w:r w:rsidR="00571235" w:rsidRPr="001F3967">
        <w:rPr>
          <w:rFonts w:ascii="Times New Roman" w:hAnsi="Times New Roman" w:cs="Times New Roman"/>
          <w:sz w:val="20"/>
          <w:szCs w:val="20"/>
        </w:rPr>
        <w:t>AND DISCUSSION</w:t>
      </w:r>
    </w:p>
    <w:p w14:paraId="54AD8EE3" w14:textId="7D77C9DA" w:rsidR="00CB5179" w:rsidRPr="001F3967" w:rsidRDefault="006B30B5" w:rsidP="004442D3">
      <w:pPr>
        <w:pStyle w:val="HeaderL1"/>
        <w:numPr>
          <w:ilvl w:val="0"/>
          <w:numId w:val="0"/>
        </w:numPr>
        <w:ind w:left="567"/>
        <w:rPr>
          <w:rFonts w:ascii="Times New Roman" w:hAnsi="Times New Roman" w:cs="Times New Roman"/>
          <w:b w:val="0"/>
          <w:bCs w:val="0"/>
          <w:sz w:val="20"/>
          <w:szCs w:val="20"/>
        </w:rPr>
      </w:pPr>
      <w:r w:rsidRPr="001F3967">
        <w:rPr>
          <w:rFonts w:ascii="Times New Roman" w:hAnsi="Times New Roman" w:cs="Times New Roman"/>
          <w:sz w:val="20"/>
          <w:szCs w:val="20"/>
          <w:lang w:val="ms-MY"/>
        </w:rPr>
        <w:t xml:space="preserve"> </w:t>
      </w:r>
    </w:p>
    <w:p w14:paraId="2A785D95" w14:textId="5090C780" w:rsidR="00AB38E9" w:rsidRPr="001F3967" w:rsidRDefault="00AB38E9" w:rsidP="00AB38E9">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 xml:space="preserve">This section presents a detailed analysis of the data collected from 381 respondents across </w:t>
      </w:r>
      <w:r w:rsidR="00E03843" w:rsidRPr="001F3967">
        <w:rPr>
          <w:rFonts w:ascii="Times New Roman" w:hAnsi="Times New Roman" w:cs="Times New Roman"/>
          <w:sz w:val="20"/>
          <w:szCs w:val="20"/>
        </w:rPr>
        <w:t xml:space="preserve">the </w:t>
      </w:r>
      <w:r w:rsidRPr="001F3967">
        <w:rPr>
          <w:rFonts w:ascii="Times New Roman" w:hAnsi="Times New Roman" w:cs="Times New Roman"/>
          <w:sz w:val="20"/>
          <w:szCs w:val="20"/>
        </w:rPr>
        <w:t>subsidiaries. The analysis follows a three-tier approach: (1) descriptive analysis to explore trends in respondent characteristics and perceptions; (2) correlation analysis to assess relationships between key variables; and (3) multiple regression analysis to test the predictive power of the proposed model.</w:t>
      </w:r>
    </w:p>
    <w:p w14:paraId="44C8BF60" w14:textId="3FF0E121" w:rsidR="00D50C5E" w:rsidRPr="001F3967" w:rsidRDefault="00AB38E9" w:rsidP="00AB38E9">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These findings are discussed in light of the literature reviewed in Section 2.0, and the implications are drawn for both scholarly inquiry and organizational practice.</w:t>
      </w:r>
    </w:p>
    <w:p w14:paraId="16F9883B" w14:textId="77777777" w:rsidR="00AA3BD0" w:rsidRPr="001F3967" w:rsidRDefault="00AA3BD0" w:rsidP="00AB38E9">
      <w:pPr>
        <w:spacing w:after="0" w:line="240" w:lineRule="auto"/>
        <w:ind w:firstLine="284"/>
        <w:jc w:val="both"/>
        <w:rPr>
          <w:rFonts w:ascii="Times New Roman" w:hAnsi="Times New Roman" w:cs="Times New Roman"/>
          <w:sz w:val="20"/>
          <w:szCs w:val="20"/>
        </w:rPr>
      </w:pPr>
    </w:p>
    <w:p w14:paraId="471611AB" w14:textId="77777777" w:rsidR="00AB38E9" w:rsidRPr="001F3967" w:rsidRDefault="00AB38E9" w:rsidP="00AB38E9">
      <w:pPr>
        <w:spacing w:after="0" w:line="240" w:lineRule="auto"/>
        <w:ind w:firstLine="284"/>
        <w:jc w:val="both"/>
        <w:rPr>
          <w:rFonts w:ascii="Times New Roman" w:hAnsi="Times New Roman" w:cs="Times New Roman"/>
          <w:sz w:val="20"/>
          <w:szCs w:val="20"/>
        </w:rPr>
      </w:pPr>
    </w:p>
    <w:p w14:paraId="7BF8DF0E" w14:textId="0B2E4D94" w:rsidR="003B0252" w:rsidRPr="001F3967" w:rsidRDefault="00B95507" w:rsidP="00AB38E9">
      <w:pPr>
        <w:pStyle w:val="ListParagraph"/>
        <w:numPr>
          <w:ilvl w:val="1"/>
          <w:numId w:val="3"/>
        </w:numPr>
        <w:spacing w:after="0" w:line="240" w:lineRule="auto"/>
        <w:ind w:left="0" w:firstLine="0"/>
        <w:rPr>
          <w:rFonts w:ascii="Times New Roman" w:hAnsi="Times New Roman" w:cs="Times New Roman"/>
          <w:b/>
          <w:bCs/>
          <w:sz w:val="20"/>
          <w:szCs w:val="20"/>
        </w:rPr>
      </w:pPr>
      <w:r w:rsidRPr="001F3967">
        <w:rPr>
          <w:rFonts w:ascii="Times New Roman" w:hAnsi="Times New Roman" w:cs="Times New Roman"/>
          <w:b/>
          <w:bCs/>
          <w:sz w:val="20"/>
          <w:szCs w:val="20"/>
        </w:rPr>
        <w:t xml:space="preserve">Reporting of </w:t>
      </w:r>
      <w:r w:rsidR="002945D0" w:rsidRPr="001F3967">
        <w:rPr>
          <w:rFonts w:ascii="Times New Roman" w:hAnsi="Times New Roman" w:cs="Times New Roman"/>
          <w:b/>
          <w:bCs/>
          <w:sz w:val="20"/>
          <w:szCs w:val="20"/>
        </w:rPr>
        <w:t>F</w:t>
      </w:r>
      <w:r w:rsidRPr="001F3967">
        <w:rPr>
          <w:rFonts w:ascii="Times New Roman" w:hAnsi="Times New Roman" w:cs="Times New Roman"/>
          <w:b/>
          <w:bCs/>
          <w:sz w:val="20"/>
          <w:szCs w:val="20"/>
        </w:rPr>
        <w:t>indings</w:t>
      </w:r>
    </w:p>
    <w:p w14:paraId="0A62E316" w14:textId="77777777" w:rsidR="00AB38E9" w:rsidRPr="001F3967" w:rsidRDefault="00AB38E9" w:rsidP="00AB38E9">
      <w:pPr>
        <w:pStyle w:val="ListParagraph"/>
        <w:spacing w:after="0" w:line="240" w:lineRule="auto"/>
        <w:ind w:left="0"/>
        <w:rPr>
          <w:rFonts w:ascii="Times New Roman" w:hAnsi="Times New Roman" w:cs="Times New Roman"/>
          <w:b/>
          <w:bCs/>
          <w:sz w:val="20"/>
          <w:szCs w:val="20"/>
        </w:rPr>
      </w:pPr>
    </w:p>
    <w:p w14:paraId="0B59B2D5" w14:textId="2C309E8A" w:rsidR="00AB38E9" w:rsidRPr="001F3967" w:rsidRDefault="00AB38E9" w:rsidP="004442D3">
      <w:pPr>
        <w:pStyle w:val="ListParagraph"/>
        <w:numPr>
          <w:ilvl w:val="2"/>
          <w:numId w:val="3"/>
        </w:numPr>
        <w:spacing w:after="0" w:line="240" w:lineRule="auto"/>
        <w:ind w:left="567" w:firstLine="0"/>
        <w:rPr>
          <w:rFonts w:ascii="Times New Roman" w:hAnsi="Times New Roman" w:cs="Times New Roman"/>
          <w:b/>
          <w:bCs/>
          <w:sz w:val="20"/>
          <w:szCs w:val="20"/>
        </w:rPr>
      </w:pPr>
      <w:r w:rsidRPr="001F3967">
        <w:rPr>
          <w:rFonts w:ascii="Times New Roman" w:hAnsi="Times New Roman" w:cs="Times New Roman"/>
          <w:b/>
          <w:bCs/>
          <w:sz w:val="20"/>
          <w:szCs w:val="20"/>
        </w:rPr>
        <w:t>Descriptive Analysis</w:t>
      </w:r>
    </w:p>
    <w:p w14:paraId="3A25A302" w14:textId="5D424C4B" w:rsidR="00AB38E9" w:rsidRPr="001F3967" w:rsidRDefault="00AB38E9" w:rsidP="004442D3">
      <w:pPr>
        <w:spacing w:after="0" w:line="240" w:lineRule="auto"/>
        <w:ind w:left="1418"/>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Demographically, the sample was diverse and representative of the subsidiary landscape. A majority of respondents (42%) were executives, followed by 28% non-executives, 19% senior management, and 11% middle management. Approximately 68% of respondents had served their organizations for more than six years, which lends credibility and depth to the insights captured.</w:t>
      </w:r>
    </w:p>
    <w:p w14:paraId="70DE906E" w14:textId="564506FF" w:rsidR="00AB38E9" w:rsidRPr="001F3967" w:rsidRDefault="00AB38E9" w:rsidP="004442D3">
      <w:pPr>
        <w:spacing w:after="0" w:line="240" w:lineRule="auto"/>
        <w:ind w:left="1418" w:firstLine="284"/>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 xml:space="preserve">In terms of subsidiary type, participation was well-distributed across educational </w:t>
      </w:r>
      <w:r w:rsidR="00E03843" w:rsidRPr="001F3967">
        <w:rPr>
          <w:rFonts w:ascii="Times New Roman" w:eastAsia="Batang" w:hAnsi="Times New Roman" w:cs="Times New Roman"/>
          <w:iCs/>
          <w:sz w:val="20"/>
          <w:szCs w:val="20"/>
          <w:lang w:eastAsia="ko-KR"/>
        </w:rPr>
        <w:t>n public sector agency</w:t>
      </w:r>
      <w:r w:rsidRPr="001F3967">
        <w:rPr>
          <w:rFonts w:ascii="Times New Roman" w:eastAsia="Batang" w:hAnsi="Times New Roman" w:cs="Times New Roman"/>
          <w:sz w:val="20"/>
          <w:szCs w:val="20"/>
          <w:lang w:eastAsia="ko-KR"/>
        </w:rPr>
        <w:t>. This diversity allowed for a comprehensive view of resilience drivers across functionally distinct entities.</w:t>
      </w:r>
    </w:p>
    <w:p w14:paraId="69D18A83" w14:textId="1F7FFFA7" w:rsidR="00D65BB3" w:rsidRPr="001F3967" w:rsidRDefault="00AB38E9" w:rsidP="004442D3">
      <w:pPr>
        <w:spacing w:after="0" w:line="240" w:lineRule="auto"/>
        <w:ind w:left="1418" w:firstLine="284"/>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lastRenderedPageBreak/>
        <w:t>Descriptive statistics for the study’s core variables were generally positive, with most constructs receiving mean scores above the neutral midpoint (3.0):</w:t>
      </w:r>
    </w:p>
    <w:p w14:paraId="0C7F62C4" w14:textId="77777777" w:rsidR="006447EA" w:rsidRPr="001F3967" w:rsidRDefault="006447EA" w:rsidP="00AB38E9">
      <w:pPr>
        <w:spacing w:after="0" w:line="240" w:lineRule="auto"/>
        <w:ind w:firstLine="284"/>
        <w:jc w:val="both"/>
        <w:rPr>
          <w:rFonts w:ascii="Times New Roman" w:eastAsia="Batang" w:hAnsi="Times New Roman" w:cs="Times New Roman"/>
          <w:sz w:val="20"/>
          <w:szCs w:val="20"/>
          <w:lang w:eastAsia="ko-KR"/>
        </w:rPr>
      </w:pPr>
    </w:p>
    <w:tbl>
      <w:tblPr>
        <w:tblW w:w="72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125"/>
        <w:gridCol w:w="151"/>
        <w:gridCol w:w="1678"/>
        <w:gridCol w:w="2325"/>
      </w:tblGrid>
      <w:tr w:rsidR="00EB05EB" w:rsidRPr="001F3967" w14:paraId="01383372" w14:textId="77777777" w:rsidTr="00755344">
        <w:trPr>
          <w:cantSplit/>
          <w:trHeight w:val="505"/>
          <w:jc w:val="center"/>
        </w:trPr>
        <w:tc>
          <w:tcPr>
            <w:tcW w:w="3125" w:type="dxa"/>
            <w:tcBorders>
              <w:top w:val="single" w:sz="4" w:space="0" w:color="auto"/>
              <w:left w:val="nil"/>
              <w:bottom w:val="single" w:sz="4" w:space="0" w:color="auto"/>
              <w:right w:val="nil"/>
            </w:tcBorders>
            <w:shd w:val="clear" w:color="auto" w:fill="FFFFFF"/>
            <w:vAlign w:val="center"/>
          </w:tcPr>
          <w:p w14:paraId="557FB519" w14:textId="05AB94CE" w:rsidR="00AB38E9" w:rsidRPr="001F3967" w:rsidRDefault="00AB38E9" w:rsidP="00A729D6">
            <w:pPr>
              <w:rPr>
                <w:rFonts w:ascii="Times New Roman" w:hAnsi="Times New Roman" w:cs="Times New Roman"/>
                <w:sz w:val="20"/>
                <w:szCs w:val="20"/>
              </w:rPr>
            </w:pPr>
            <w:r w:rsidRPr="001F3967">
              <w:rPr>
                <w:rFonts w:ascii="Times New Roman" w:hAnsi="Times New Roman" w:cs="Times New Roman"/>
                <w:sz w:val="20"/>
                <w:szCs w:val="20"/>
              </w:rPr>
              <w:t xml:space="preserve">       Construct</w:t>
            </w:r>
          </w:p>
        </w:tc>
        <w:tc>
          <w:tcPr>
            <w:tcW w:w="1829" w:type="dxa"/>
            <w:gridSpan w:val="2"/>
            <w:tcBorders>
              <w:top w:val="single" w:sz="4" w:space="0" w:color="auto"/>
              <w:left w:val="nil"/>
              <w:bottom w:val="single" w:sz="4" w:space="0" w:color="auto"/>
              <w:right w:val="nil"/>
            </w:tcBorders>
            <w:shd w:val="clear" w:color="auto" w:fill="FFFFFF"/>
          </w:tcPr>
          <w:p w14:paraId="1F536098" w14:textId="7351E1F5" w:rsidR="00AB38E9" w:rsidRPr="001F3967" w:rsidRDefault="00AB38E9" w:rsidP="00AB38E9">
            <w:pPr>
              <w:jc w:val="center"/>
              <w:rPr>
                <w:rFonts w:ascii="Times New Roman" w:hAnsi="Times New Roman" w:cs="Times New Roman"/>
                <w:sz w:val="20"/>
                <w:szCs w:val="20"/>
              </w:rPr>
            </w:pPr>
            <w:r w:rsidRPr="001F3967">
              <w:rPr>
                <w:rFonts w:ascii="Times New Roman" w:hAnsi="Times New Roman" w:cs="Times New Roman"/>
                <w:sz w:val="20"/>
                <w:szCs w:val="20"/>
              </w:rPr>
              <w:t>Mean (M)</w:t>
            </w:r>
          </w:p>
        </w:tc>
        <w:tc>
          <w:tcPr>
            <w:tcW w:w="2325" w:type="dxa"/>
            <w:tcBorders>
              <w:top w:val="single" w:sz="4" w:space="0" w:color="auto"/>
              <w:left w:val="nil"/>
              <w:bottom w:val="single" w:sz="4" w:space="0" w:color="auto"/>
              <w:right w:val="nil"/>
            </w:tcBorders>
            <w:shd w:val="clear" w:color="auto" w:fill="FFFFFF"/>
          </w:tcPr>
          <w:p w14:paraId="5CAD58E5" w14:textId="052B2A6B" w:rsidR="00AB38E9" w:rsidRPr="001F3967" w:rsidRDefault="00AB38E9" w:rsidP="00A729D6">
            <w:pPr>
              <w:pStyle w:val="Default"/>
              <w:jc w:val="center"/>
              <w:rPr>
                <w:color w:val="auto"/>
                <w:sz w:val="20"/>
                <w:szCs w:val="20"/>
              </w:rPr>
            </w:pPr>
            <w:r w:rsidRPr="001F3967">
              <w:rPr>
                <w:color w:val="auto"/>
                <w:sz w:val="20"/>
                <w:szCs w:val="20"/>
              </w:rPr>
              <w:t>Standard Deviation (SD)</w:t>
            </w:r>
          </w:p>
        </w:tc>
      </w:tr>
      <w:tr w:rsidR="00EB05EB" w:rsidRPr="001F3967" w14:paraId="40442AC6" w14:textId="77777777" w:rsidTr="00755344">
        <w:trPr>
          <w:cantSplit/>
          <w:trHeight w:val="2054"/>
          <w:jc w:val="center"/>
        </w:trPr>
        <w:tc>
          <w:tcPr>
            <w:tcW w:w="3276" w:type="dxa"/>
            <w:gridSpan w:val="2"/>
            <w:tcBorders>
              <w:top w:val="single" w:sz="4" w:space="0" w:color="auto"/>
              <w:left w:val="nil"/>
              <w:right w:val="nil"/>
            </w:tcBorders>
            <w:shd w:val="clear" w:color="auto" w:fill="FFFFFF"/>
          </w:tcPr>
          <w:p w14:paraId="641A3F41" w14:textId="345E18C6" w:rsidR="00AB38E9" w:rsidRPr="001F3967" w:rsidRDefault="00AB38E9" w:rsidP="00AB38E9">
            <w:pPr>
              <w:pStyle w:val="ListParagraph"/>
              <w:numPr>
                <w:ilvl w:val="0"/>
                <w:numId w:val="32"/>
              </w:numPr>
              <w:spacing w:after="160" w:line="320" w:lineRule="atLeast"/>
              <w:ind w:right="60"/>
              <w:rPr>
                <w:rFonts w:ascii="Times New Roman" w:hAnsi="Times New Roman" w:cs="Times New Roman"/>
                <w:sz w:val="20"/>
                <w:szCs w:val="20"/>
              </w:rPr>
            </w:pPr>
            <w:r w:rsidRPr="001F3967">
              <w:rPr>
                <w:rFonts w:ascii="Times New Roman" w:hAnsi="Times New Roman" w:cs="Times New Roman"/>
                <w:sz w:val="20"/>
                <w:szCs w:val="20"/>
              </w:rPr>
              <w:t>Financial Sustainability</w:t>
            </w:r>
          </w:p>
          <w:p w14:paraId="5DF98C36" w14:textId="77777777" w:rsidR="00AB38E9" w:rsidRPr="001F3967" w:rsidRDefault="00AB38E9" w:rsidP="00AB38E9">
            <w:pPr>
              <w:pStyle w:val="ListParagraph"/>
              <w:numPr>
                <w:ilvl w:val="0"/>
                <w:numId w:val="32"/>
              </w:numPr>
              <w:spacing w:after="160" w:line="320" w:lineRule="atLeast"/>
              <w:ind w:right="60"/>
              <w:rPr>
                <w:rFonts w:ascii="Times New Roman" w:hAnsi="Times New Roman" w:cs="Times New Roman"/>
                <w:sz w:val="20"/>
                <w:szCs w:val="20"/>
              </w:rPr>
            </w:pPr>
            <w:r w:rsidRPr="001F3967">
              <w:rPr>
                <w:rFonts w:ascii="Times New Roman" w:hAnsi="Times New Roman" w:cs="Times New Roman"/>
                <w:sz w:val="20"/>
                <w:szCs w:val="20"/>
              </w:rPr>
              <w:t>Revenue Diversification</w:t>
            </w:r>
          </w:p>
          <w:p w14:paraId="4984D2A0" w14:textId="44134702" w:rsidR="00AB38E9" w:rsidRPr="001F3967" w:rsidRDefault="00AB38E9" w:rsidP="00AB38E9">
            <w:pPr>
              <w:pStyle w:val="ListParagraph"/>
              <w:numPr>
                <w:ilvl w:val="0"/>
                <w:numId w:val="32"/>
              </w:numPr>
              <w:spacing w:after="160" w:line="320" w:lineRule="atLeast"/>
              <w:ind w:right="60"/>
              <w:rPr>
                <w:rFonts w:ascii="Times New Roman" w:hAnsi="Times New Roman" w:cs="Times New Roman"/>
                <w:sz w:val="20"/>
                <w:szCs w:val="20"/>
              </w:rPr>
            </w:pPr>
            <w:r w:rsidRPr="001F3967">
              <w:rPr>
                <w:rFonts w:ascii="Times New Roman" w:hAnsi="Times New Roman" w:cs="Times New Roman"/>
                <w:sz w:val="20"/>
                <w:szCs w:val="20"/>
              </w:rPr>
              <w:t>Leadership Quality</w:t>
            </w:r>
          </w:p>
          <w:p w14:paraId="07912A42" w14:textId="77777777" w:rsidR="00AB38E9" w:rsidRPr="001F3967" w:rsidRDefault="00AB38E9" w:rsidP="00AB38E9">
            <w:pPr>
              <w:pStyle w:val="ListParagraph"/>
              <w:numPr>
                <w:ilvl w:val="0"/>
                <w:numId w:val="32"/>
              </w:numPr>
              <w:spacing w:after="160" w:line="320" w:lineRule="atLeast"/>
              <w:ind w:left="426" w:right="60" w:hanging="66"/>
              <w:rPr>
                <w:rFonts w:ascii="Times New Roman" w:hAnsi="Times New Roman" w:cs="Times New Roman"/>
                <w:sz w:val="20"/>
                <w:szCs w:val="20"/>
              </w:rPr>
            </w:pPr>
            <w:r w:rsidRPr="001F3967">
              <w:rPr>
                <w:rFonts w:ascii="Times New Roman" w:hAnsi="Times New Roman" w:cs="Times New Roman"/>
                <w:sz w:val="20"/>
                <w:szCs w:val="20"/>
              </w:rPr>
              <w:t>Organizational Capacity</w:t>
            </w:r>
          </w:p>
          <w:p w14:paraId="670EC931" w14:textId="77777777" w:rsidR="00AB38E9" w:rsidRPr="001F3967" w:rsidRDefault="00AB38E9" w:rsidP="00AB38E9">
            <w:pPr>
              <w:pStyle w:val="ListParagraph"/>
              <w:numPr>
                <w:ilvl w:val="0"/>
                <w:numId w:val="32"/>
              </w:numPr>
              <w:spacing w:after="160" w:line="320" w:lineRule="atLeast"/>
              <w:ind w:left="426" w:right="60" w:hanging="66"/>
              <w:rPr>
                <w:rFonts w:ascii="Times New Roman" w:hAnsi="Times New Roman" w:cs="Times New Roman"/>
                <w:sz w:val="20"/>
                <w:szCs w:val="20"/>
              </w:rPr>
            </w:pPr>
            <w:r w:rsidRPr="001F3967">
              <w:rPr>
                <w:rFonts w:ascii="Times New Roman" w:hAnsi="Times New Roman" w:cs="Times New Roman"/>
                <w:sz w:val="20"/>
                <w:szCs w:val="20"/>
              </w:rPr>
              <w:t>Market Demand</w:t>
            </w:r>
          </w:p>
          <w:p w14:paraId="3D4944E0" w14:textId="77777777" w:rsidR="00AB38E9" w:rsidRPr="001F3967" w:rsidRDefault="00AB38E9" w:rsidP="00AB38E9">
            <w:pPr>
              <w:pStyle w:val="ListParagraph"/>
              <w:numPr>
                <w:ilvl w:val="0"/>
                <w:numId w:val="32"/>
              </w:numPr>
              <w:spacing w:after="160" w:line="320" w:lineRule="atLeast"/>
              <w:ind w:left="426" w:right="60" w:hanging="66"/>
              <w:rPr>
                <w:rFonts w:ascii="Times New Roman" w:hAnsi="Times New Roman" w:cs="Times New Roman"/>
                <w:sz w:val="20"/>
                <w:szCs w:val="20"/>
              </w:rPr>
            </w:pPr>
            <w:r w:rsidRPr="001F3967">
              <w:rPr>
                <w:rFonts w:ascii="Times New Roman" w:hAnsi="Times New Roman" w:cs="Times New Roman"/>
                <w:sz w:val="20"/>
                <w:szCs w:val="20"/>
              </w:rPr>
              <w:t>Organizational Resilience</w:t>
            </w:r>
          </w:p>
        </w:tc>
        <w:tc>
          <w:tcPr>
            <w:tcW w:w="1678" w:type="dxa"/>
            <w:tcBorders>
              <w:top w:val="single" w:sz="4" w:space="0" w:color="auto"/>
              <w:left w:val="nil"/>
              <w:right w:val="nil"/>
            </w:tcBorders>
            <w:shd w:val="clear" w:color="auto" w:fill="FFFFFF"/>
          </w:tcPr>
          <w:p w14:paraId="3EE42AAE" w14:textId="11EF32BD" w:rsidR="00AB38E9" w:rsidRPr="001F3967" w:rsidRDefault="00AB38E9" w:rsidP="00A729D6">
            <w:pPr>
              <w:pStyle w:val="ListParagraph"/>
              <w:spacing w:line="320" w:lineRule="atLeast"/>
              <w:ind w:left="426" w:right="60"/>
              <w:rPr>
                <w:rFonts w:ascii="Times New Roman" w:hAnsi="Times New Roman" w:cs="Times New Roman"/>
                <w:sz w:val="20"/>
                <w:szCs w:val="20"/>
              </w:rPr>
            </w:pPr>
            <w:r w:rsidRPr="001F3967">
              <w:rPr>
                <w:rFonts w:ascii="Times New Roman" w:hAnsi="Times New Roman" w:cs="Times New Roman"/>
                <w:sz w:val="20"/>
                <w:szCs w:val="20"/>
              </w:rPr>
              <w:t>3.81</w:t>
            </w:r>
          </w:p>
          <w:p w14:paraId="52461EDD" w14:textId="39811B08" w:rsidR="00AB38E9" w:rsidRPr="001F3967" w:rsidRDefault="00AB38E9" w:rsidP="00A729D6">
            <w:pPr>
              <w:pStyle w:val="ListParagraph"/>
              <w:spacing w:line="320" w:lineRule="atLeast"/>
              <w:ind w:left="426" w:right="60"/>
              <w:rPr>
                <w:rFonts w:ascii="Times New Roman" w:hAnsi="Times New Roman" w:cs="Times New Roman"/>
                <w:sz w:val="20"/>
                <w:szCs w:val="20"/>
              </w:rPr>
            </w:pPr>
            <w:r w:rsidRPr="001F3967">
              <w:rPr>
                <w:rFonts w:ascii="Times New Roman" w:hAnsi="Times New Roman" w:cs="Times New Roman"/>
                <w:sz w:val="20"/>
                <w:szCs w:val="20"/>
              </w:rPr>
              <w:t>3.41</w:t>
            </w:r>
          </w:p>
          <w:p w14:paraId="671AF354" w14:textId="286820E0" w:rsidR="00AB38E9" w:rsidRPr="001F3967" w:rsidRDefault="00AB38E9" w:rsidP="00A729D6">
            <w:pPr>
              <w:pStyle w:val="ListParagraph"/>
              <w:spacing w:line="320" w:lineRule="atLeast"/>
              <w:ind w:left="426" w:right="60"/>
              <w:rPr>
                <w:rFonts w:ascii="Times New Roman" w:hAnsi="Times New Roman" w:cs="Times New Roman"/>
                <w:sz w:val="20"/>
                <w:szCs w:val="20"/>
              </w:rPr>
            </w:pPr>
            <w:r w:rsidRPr="001F3967">
              <w:rPr>
                <w:rFonts w:ascii="Times New Roman" w:hAnsi="Times New Roman" w:cs="Times New Roman"/>
                <w:sz w:val="20"/>
                <w:szCs w:val="20"/>
              </w:rPr>
              <w:t>3.</w:t>
            </w:r>
            <w:r w:rsidR="00B83000" w:rsidRPr="001F3967">
              <w:rPr>
                <w:rFonts w:ascii="Times New Roman" w:hAnsi="Times New Roman" w:cs="Times New Roman"/>
                <w:sz w:val="20"/>
                <w:szCs w:val="20"/>
              </w:rPr>
              <w:t>62</w:t>
            </w:r>
          </w:p>
          <w:p w14:paraId="0FF5BEB3" w14:textId="3D437F73" w:rsidR="00AB38E9" w:rsidRPr="001F3967" w:rsidRDefault="00AB38E9" w:rsidP="00A729D6">
            <w:pPr>
              <w:pStyle w:val="ListParagraph"/>
              <w:spacing w:line="320" w:lineRule="atLeast"/>
              <w:ind w:left="426" w:right="60"/>
              <w:rPr>
                <w:rFonts w:ascii="Times New Roman" w:hAnsi="Times New Roman" w:cs="Times New Roman"/>
                <w:sz w:val="20"/>
                <w:szCs w:val="20"/>
              </w:rPr>
            </w:pPr>
            <w:r w:rsidRPr="001F3967">
              <w:rPr>
                <w:rFonts w:ascii="Times New Roman" w:hAnsi="Times New Roman" w:cs="Times New Roman"/>
                <w:sz w:val="20"/>
                <w:szCs w:val="20"/>
              </w:rPr>
              <w:t>3.</w:t>
            </w:r>
            <w:r w:rsidR="00B83000" w:rsidRPr="001F3967">
              <w:rPr>
                <w:rFonts w:ascii="Times New Roman" w:hAnsi="Times New Roman" w:cs="Times New Roman"/>
                <w:sz w:val="20"/>
                <w:szCs w:val="20"/>
              </w:rPr>
              <w:t>57</w:t>
            </w:r>
          </w:p>
          <w:p w14:paraId="61A1A30E" w14:textId="5C7900F1" w:rsidR="00AB38E9" w:rsidRPr="001F3967" w:rsidRDefault="00AB38E9" w:rsidP="00A729D6">
            <w:pPr>
              <w:pStyle w:val="ListParagraph"/>
              <w:spacing w:line="320" w:lineRule="atLeast"/>
              <w:ind w:left="426" w:right="60"/>
              <w:rPr>
                <w:rFonts w:ascii="Times New Roman" w:hAnsi="Times New Roman" w:cs="Times New Roman"/>
                <w:sz w:val="20"/>
                <w:szCs w:val="20"/>
              </w:rPr>
            </w:pPr>
            <w:r w:rsidRPr="001F3967">
              <w:rPr>
                <w:rFonts w:ascii="Times New Roman" w:hAnsi="Times New Roman" w:cs="Times New Roman"/>
                <w:sz w:val="20"/>
                <w:szCs w:val="20"/>
              </w:rPr>
              <w:t>3.91</w:t>
            </w:r>
          </w:p>
          <w:p w14:paraId="10F93B9C" w14:textId="6E2EBDD8" w:rsidR="00AB38E9" w:rsidRPr="001F3967" w:rsidRDefault="00AB38E9" w:rsidP="00A729D6">
            <w:pPr>
              <w:pStyle w:val="ListParagraph"/>
              <w:spacing w:line="320" w:lineRule="atLeast"/>
              <w:ind w:left="426" w:right="60"/>
              <w:rPr>
                <w:rFonts w:ascii="Times New Roman" w:hAnsi="Times New Roman" w:cs="Times New Roman"/>
                <w:sz w:val="20"/>
                <w:szCs w:val="20"/>
              </w:rPr>
            </w:pPr>
            <w:r w:rsidRPr="001F3967">
              <w:rPr>
                <w:rFonts w:ascii="Times New Roman" w:hAnsi="Times New Roman" w:cs="Times New Roman"/>
                <w:sz w:val="20"/>
                <w:szCs w:val="20"/>
              </w:rPr>
              <w:t>3.</w:t>
            </w:r>
            <w:r w:rsidR="00B83000" w:rsidRPr="001F3967">
              <w:rPr>
                <w:rFonts w:ascii="Times New Roman" w:hAnsi="Times New Roman" w:cs="Times New Roman"/>
                <w:sz w:val="20"/>
                <w:szCs w:val="20"/>
              </w:rPr>
              <w:t>55</w:t>
            </w:r>
          </w:p>
        </w:tc>
        <w:tc>
          <w:tcPr>
            <w:tcW w:w="2325" w:type="dxa"/>
            <w:tcBorders>
              <w:top w:val="single" w:sz="4" w:space="0" w:color="auto"/>
              <w:left w:val="nil"/>
              <w:right w:val="nil"/>
            </w:tcBorders>
            <w:shd w:val="clear" w:color="auto" w:fill="FFFFFF"/>
          </w:tcPr>
          <w:p w14:paraId="44709C40" w14:textId="08E48DB1" w:rsidR="00AB38E9" w:rsidRPr="001F3967" w:rsidRDefault="00AB38E9" w:rsidP="00A729D6">
            <w:pPr>
              <w:pStyle w:val="ListParagraph"/>
              <w:spacing w:line="320" w:lineRule="atLeast"/>
              <w:ind w:left="1002" w:right="60"/>
              <w:rPr>
                <w:rFonts w:ascii="Times New Roman" w:hAnsi="Times New Roman" w:cs="Times New Roman"/>
                <w:sz w:val="20"/>
                <w:szCs w:val="20"/>
              </w:rPr>
            </w:pPr>
            <w:r w:rsidRPr="001F3967">
              <w:rPr>
                <w:rFonts w:ascii="Times New Roman" w:hAnsi="Times New Roman" w:cs="Times New Roman"/>
                <w:sz w:val="20"/>
                <w:szCs w:val="20"/>
              </w:rPr>
              <w:t>.</w:t>
            </w:r>
            <w:r w:rsidR="00B83000" w:rsidRPr="001F3967">
              <w:rPr>
                <w:rFonts w:ascii="Times New Roman" w:hAnsi="Times New Roman" w:cs="Times New Roman"/>
                <w:sz w:val="20"/>
                <w:szCs w:val="20"/>
              </w:rPr>
              <w:t>94</w:t>
            </w:r>
          </w:p>
          <w:p w14:paraId="2F270F27" w14:textId="362F852C" w:rsidR="00AB38E9" w:rsidRPr="001F3967" w:rsidRDefault="00AB38E9" w:rsidP="00A729D6">
            <w:pPr>
              <w:pStyle w:val="ListParagraph"/>
              <w:spacing w:line="320" w:lineRule="atLeast"/>
              <w:ind w:left="1002" w:right="60"/>
              <w:rPr>
                <w:rFonts w:ascii="Times New Roman" w:hAnsi="Times New Roman" w:cs="Times New Roman"/>
                <w:sz w:val="20"/>
                <w:szCs w:val="20"/>
              </w:rPr>
            </w:pPr>
            <w:r w:rsidRPr="001F3967">
              <w:rPr>
                <w:rFonts w:ascii="Times New Roman" w:hAnsi="Times New Roman" w:cs="Times New Roman"/>
                <w:sz w:val="20"/>
                <w:szCs w:val="20"/>
              </w:rPr>
              <w:t>.9</w:t>
            </w:r>
            <w:r w:rsidR="00B83000" w:rsidRPr="001F3967">
              <w:rPr>
                <w:rFonts w:ascii="Times New Roman" w:hAnsi="Times New Roman" w:cs="Times New Roman"/>
                <w:sz w:val="20"/>
                <w:szCs w:val="20"/>
              </w:rPr>
              <w:t>5</w:t>
            </w:r>
          </w:p>
          <w:p w14:paraId="087D2516" w14:textId="3057D82C" w:rsidR="00AB38E9" w:rsidRPr="001F3967" w:rsidRDefault="00AB38E9" w:rsidP="00A729D6">
            <w:pPr>
              <w:pStyle w:val="ListParagraph"/>
              <w:spacing w:line="320" w:lineRule="atLeast"/>
              <w:ind w:left="1002" w:right="60"/>
              <w:rPr>
                <w:rFonts w:ascii="Times New Roman" w:hAnsi="Times New Roman" w:cs="Times New Roman"/>
                <w:sz w:val="20"/>
                <w:szCs w:val="20"/>
              </w:rPr>
            </w:pPr>
            <w:r w:rsidRPr="001F3967">
              <w:rPr>
                <w:rFonts w:ascii="Times New Roman" w:hAnsi="Times New Roman" w:cs="Times New Roman"/>
                <w:sz w:val="20"/>
                <w:szCs w:val="20"/>
              </w:rPr>
              <w:t>.</w:t>
            </w:r>
            <w:r w:rsidR="00B83000" w:rsidRPr="001F3967">
              <w:rPr>
                <w:rFonts w:ascii="Times New Roman" w:hAnsi="Times New Roman" w:cs="Times New Roman"/>
                <w:sz w:val="20"/>
                <w:szCs w:val="20"/>
              </w:rPr>
              <w:t>98</w:t>
            </w:r>
          </w:p>
          <w:p w14:paraId="44046F45" w14:textId="0145C417" w:rsidR="00AB38E9" w:rsidRPr="001F3967" w:rsidRDefault="00AB38E9" w:rsidP="00A729D6">
            <w:pPr>
              <w:pStyle w:val="ListParagraph"/>
              <w:spacing w:line="320" w:lineRule="atLeast"/>
              <w:ind w:left="1002" w:right="60"/>
              <w:rPr>
                <w:rFonts w:ascii="Times New Roman" w:hAnsi="Times New Roman" w:cs="Times New Roman"/>
                <w:sz w:val="20"/>
                <w:szCs w:val="20"/>
              </w:rPr>
            </w:pPr>
            <w:r w:rsidRPr="001F3967">
              <w:rPr>
                <w:rFonts w:ascii="Times New Roman" w:hAnsi="Times New Roman" w:cs="Times New Roman"/>
                <w:sz w:val="20"/>
                <w:szCs w:val="20"/>
              </w:rPr>
              <w:t>.</w:t>
            </w:r>
            <w:r w:rsidR="00B83000" w:rsidRPr="001F3967">
              <w:rPr>
                <w:rFonts w:ascii="Times New Roman" w:hAnsi="Times New Roman" w:cs="Times New Roman"/>
                <w:sz w:val="20"/>
                <w:szCs w:val="20"/>
              </w:rPr>
              <w:t>91</w:t>
            </w:r>
          </w:p>
          <w:p w14:paraId="792D7F55" w14:textId="2E47F87A" w:rsidR="00AB38E9" w:rsidRPr="001F3967" w:rsidRDefault="00AB38E9" w:rsidP="00A729D6">
            <w:pPr>
              <w:pStyle w:val="ListParagraph"/>
              <w:spacing w:line="320" w:lineRule="atLeast"/>
              <w:ind w:left="1002" w:right="60"/>
              <w:rPr>
                <w:rFonts w:ascii="Times New Roman" w:hAnsi="Times New Roman" w:cs="Times New Roman"/>
                <w:sz w:val="20"/>
                <w:szCs w:val="20"/>
              </w:rPr>
            </w:pPr>
            <w:r w:rsidRPr="001F3967">
              <w:rPr>
                <w:rFonts w:ascii="Times New Roman" w:hAnsi="Times New Roman" w:cs="Times New Roman"/>
                <w:sz w:val="20"/>
                <w:szCs w:val="20"/>
              </w:rPr>
              <w:t>.</w:t>
            </w:r>
            <w:r w:rsidR="00B83000" w:rsidRPr="001F3967">
              <w:rPr>
                <w:rFonts w:ascii="Times New Roman" w:hAnsi="Times New Roman" w:cs="Times New Roman"/>
                <w:sz w:val="20"/>
                <w:szCs w:val="20"/>
              </w:rPr>
              <w:t>86</w:t>
            </w:r>
          </w:p>
          <w:p w14:paraId="617AD4D7" w14:textId="2B12EB0A" w:rsidR="00AB38E9" w:rsidRPr="001F3967" w:rsidRDefault="00AB38E9" w:rsidP="00A729D6">
            <w:pPr>
              <w:pStyle w:val="ListParagraph"/>
              <w:spacing w:line="320" w:lineRule="atLeast"/>
              <w:ind w:left="1002" w:right="60"/>
              <w:rPr>
                <w:rFonts w:ascii="Times New Roman" w:hAnsi="Times New Roman" w:cs="Times New Roman"/>
                <w:sz w:val="20"/>
                <w:szCs w:val="20"/>
              </w:rPr>
            </w:pPr>
            <w:r w:rsidRPr="001F3967">
              <w:rPr>
                <w:rFonts w:ascii="Times New Roman" w:hAnsi="Times New Roman" w:cs="Times New Roman"/>
                <w:sz w:val="20"/>
                <w:szCs w:val="20"/>
              </w:rPr>
              <w:t>.</w:t>
            </w:r>
            <w:r w:rsidR="00B83000" w:rsidRPr="001F3967">
              <w:rPr>
                <w:rFonts w:ascii="Times New Roman" w:hAnsi="Times New Roman" w:cs="Times New Roman"/>
                <w:sz w:val="20"/>
                <w:szCs w:val="20"/>
              </w:rPr>
              <w:t>88</w:t>
            </w:r>
          </w:p>
        </w:tc>
      </w:tr>
    </w:tbl>
    <w:p w14:paraId="04D2690B" w14:textId="77777777" w:rsidR="000064FD" w:rsidRPr="001F3967" w:rsidRDefault="00AB38E9" w:rsidP="00AB38E9">
      <w:pPr>
        <w:spacing w:after="0" w:line="240" w:lineRule="auto"/>
        <w:ind w:firstLine="284"/>
        <w:jc w:val="center"/>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Table 2</w:t>
      </w:r>
    </w:p>
    <w:p w14:paraId="64A628FF" w14:textId="138F8AF4" w:rsidR="00AB38E9" w:rsidRPr="001F3967" w:rsidRDefault="004B5403" w:rsidP="00AB38E9">
      <w:pPr>
        <w:spacing w:after="0" w:line="240" w:lineRule="auto"/>
        <w:ind w:firstLine="284"/>
        <w:jc w:val="center"/>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Descriptive Statistic</w:t>
      </w:r>
    </w:p>
    <w:p w14:paraId="4E98EEEE" w14:textId="77777777" w:rsidR="00AB38E9" w:rsidRPr="001F3967" w:rsidRDefault="00AB38E9" w:rsidP="00AB38E9">
      <w:pPr>
        <w:spacing w:after="0" w:line="240" w:lineRule="auto"/>
        <w:ind w:firstLine="284"/>
        <w:jc w:val="both"/>
        <w:rPr>
          <w:rFonts w:ascii="Times New Roman" w:eastAsia="Batang" w:hAnsi="Times New Roman" w:cs="Times New Roman"/>
          <w:sz w:val="20"/>
          <w:szCs w:val="20"/>
          <w:lang w:eastAsia="ko-KR"/>
        </w:rPr>
      </w:pPr>
    </w:p>
    <w:p w14:paraId="1DB5EEC2" w14:textId="77777777" w:rsidR="00AB38E9" w:rsidRPr="001F3967" w:rsidRDefault="00AB38E9" w:rsidP="004442D3">
      <w:pPr>
        <w:ind w:left="1418" w:firstLine="283"/>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The highest mean score was reported for market demand, suggesting that most respondents perceived their services to be well-aligned with public needs. However, the lowest mean was for revenue diversification, hinting at a common challenge among subsidiaries in establishing multiple income streams — a potential vulnerability in times of funding instability.</w:t>
      </w:r>
    </w:p>
    <w:p w14:paraId="150A1DF4" w14:textId="537AFBDC" w:rsidR="008D4036" w:rsidRPr="001F3967" w:rsidRDefault="008D4036" w:rsidP="004442D3">
      <w:pPr>
        <w:pStyle w:val="ListParagraph"/>
        <w:numPr>
          <w:ilvl w:val="2"/>
          <w:numId w:val="3"/>
        </w:numPr>
        <w:spacing w:after="0" w:line="240" w:lineRule="auto"/>
        <w:ind w:left="709" w:hanging="142"/>
        <w:rPr>
          <w:rFonts w:ascii="Times New Roman" w:hAnsi="Times New Roman" w:cs="Times New Roman"/>
          <w:b/>
          <w:bCs/>
          <w:sz w:val="20"/>
          <w:szCs w:val="20"/>
        </w:rPr>
      </w:pPr>
      <w:r w:rsidRPr="001F3967">
        <w:rPr>
          <w:rFonts w:ascii="Times New Roman" w:hAnsi="Times New Roman" w:cs="Times New Roman"/>
          <w:b/>
          <w:bCs/>
          <w:sz w:val="20"/>
          <w:szCs w:val="20"/>
        </w:rPr>
        <w:t>Correlation Model</w:t>
      </w:r>
    </w:p>
    <w:p w14:paraId="3973423A" w14:textId="31262512" w:rsidR="008D4036" w:rsidRPr="001F3967" w:rsidRDefault="008D4036" w:rsidP="004442D3">
      <w:pPr>
        <w:pStyle w:val="ListParagraph"/>
        <w:spacing w:after="0" w:line="240" w:lineRule="auto"/>
        <w:ind w:left="1418"/>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Pearson correlation analysis was conducted to explore the relationships between the independent variables and organizational resilience. All five variables demonstrated strong, positive, and statistically significant correlations with resilience:</w:t>
      </w:r>
    </w:p>
    <w:p w14:paraId="402BE5EB" w14:textId="54283603" w:rsidR="008D4036" w:rsidRPr="001F3967" w:rsidRDefault="008D4036" w:rsidP="008D4036">
      <w:pPr>
        <w:spacing w:after="0" w:line="240" w:lineRule="auto"/>
        <w:jc w:val="both"/>
        <w:rPr>
          <w:rFonts w:ascii="Times New Roman" w:eastAsia="Batang" w:hAnsi="Times New Roman" w:cs="Times New Roman"/>
          <w:sz w:val="20"/>
          <w:szCs w:val="20"/>
          <w:lang w:eastAsia="ko-KR"/>
        </w:rPr>
      </w:pPr>
    </w:p>
    <w:tbl>
      <w:tblPr>
        <w:tblW w:w="4494" w:type="dxa"/>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35"/>
        <w:gridCol w:w="137"/>
        <w:gridCol w:w="1522"/>
      </w:tblGrid>
      <w:tr w:rsidR="00EB05EB" w:rsidRPr="001F3967" w14:paraId="7437A9AA" w14:textId="77777777" w:rsidTr="00D540F7">
        <w:trPr>
          <w:cantSplit/>
        </w:trPr>
        <w:tc>
          <w:tcPr>
            <w:tcW w:w="2835" w:type="dxa"/>
            <w:tcBorders>
              <w:top w:val="single" w:sz="4" w:space="0" w:color="auto"/>
              <w:left w:val="nil"/>
              <w:bottom w:val="single" w:sz="4" w:space="0" w:color="auto"/>
              <w:right w:val="nil"/>
            </w:tcBorders>
            <w:shd w:val="clear" w:color="auto" w:fill="FFFFFF"/>
            <w:vAlign w:val="center"/>
          </w:tcPr>
          <w:p w14:paraId="78EDD967" w14:textId="78324B58" w:rsidR="00D540F7" w:rsidRPr="001F3967" w:rsidRDefault="00D540F7" w:rsidP="00A729D6">
            <w:pPr>
              <w:rPr>
                <w:rFonts w:ascii="Times New Roman" w:hAnsi="Times New Roman" w:cs="Times New Roman"/>
                <w:sz w:val="20"/>
                <w:szCs w:val="20"/>
              </w:rPr>
            </w:pPr>
            <w:r w:rsidRPr="001F3967">
              <w:rPr>
                <w:rFonts w:ascii="Times New Roman" w:hAnsi="Times New Roman" w:cs="Times New Roman"/>
                <w:sz w:val="20"/>
                <w:szCs w:val="20"/>
              </w:rPr>
              <w:t xml:space="preserve">       Variable</w:t>
            </w:r>
          </w:p>
        </w:tc>
        <w:tc>
          <w:tcPr>
            <w:tcW w:w="1659" w:type="dxa"/>
            <w:gridSpan w:val="2"/>
            <w:tcBorders>
              <w:top w:val="single" w:sz="4" w:space="0" w:color="auto"/>
              <w:left w:val="nil"/>
              <w:bottom w:val="single" w:sz="4" w:space="0" w:color="auto"/>
              <w:right w:val="nil"/>
            </w:tcBorders>
            <w:shd w:val="clear" w:color="auto" w:fill="FFFFFF"/>
          </w:tcPr>
          <w:p w14:paraId="57BA30B0" w14:textId="5F9D6F84" w:rsidR="00D540F7" w:rsidRPr="001F3967" w:rsidRDefault="00D540F7" w:rsidP="006447EA">
            <w:pPr>
              <w:jc w:val="center"/>
              <w:rPr>
                <w:rFonts w:ascii="Times New Roman" w:hAnsi="Times New Roman" w:cs="Times New Roman"/>
                <w:sz w:val="20"/>
                <w:szCs w:val="20"/>
              </w:rPr>
            </w:pPr>
            <w:r w:rsidRPr="001F3967">
              <w:rPr>
                <w:rFonts w:ascii="Times New Roman" w:hAnsi="Times New Roman" w:cs="Times New Roman"/>
                <w:sz w:val="20"/>
                <w:szCs w:val="20"/>
              </w:rPr>
              <w:t>Correlation (r)</w:t>
            </w:r>
          </w:p>
        </w:tc>
      </w:tr>
      <w:tr w:rsidR="00EB05EB" w:rsidRPr="001F3967" w14:paraId="0B3C2032" w14:textId="77777777" w:rsidTr="00D540F7">
        <w:trPr>
          <w:cantSplit/>
          <w:trHeight w:val="1685"/>
        </w:trPr>
        <w:tc>
          <w:tcPr>
            <w:tcW w:w="2972" w:type="dxa"/>
            <w:gridSpan w:val="2"/>
            <w:tcBorders>
              <w:top w:val="single" w:sz="4" w:space="0" w:color="auto"/>
              <w:left w:val="nil"/>
              <w:right w:val="nil"/>
            </w:tcBorders>
            <w:shd w:val="clear" w:color="auto" w:fill="FFFFFF"/>
          </w:tcPr>
          <w:p w14:paraId="1674DEAA" w14:textId="77777777" w:rsidR="00D540F7" w:rsidRPr="001F3967" w:rsidRDefault="00D540F7" w:rsidP="006447EA">
            <w:pPr>
              <w:pStyle w:val="ListParagraph"/>
              <w:numPr>
                <w:ilvl w:val="0"/>
                <w:numId w:val="33"/>
              </w:numPr>
              <w:spacing w:after="160" w:line="320" w:lineRule="atLeast"/>
              <w:ind w:right="60"/>
              <w:rPr>
                <w:rFonts w:ascii="Times New Roman" w:hAnsi="Times New Roman" w:cs="Times New Roman"/>
                <w:sz w:val="20"/>
                <w:szCs w:val="20"/>
              </w:rPr>
            </w:pPr>
            <w:r w:rsidRPr="001F3967">
              <w:rPr>
                <w:rFonts w:ascii="Times New Roman" w:hAnsi="Times New Roman" w:cs="Times New Roman"/>
                <w:sz w:val="20"/>
                <w:szCs w:val="20"/>
              </w:rPr>
              <w:t>Financial Sustainability</w:t>
            </w:r>
          </w:p>
          <w:p w14:paraId="1C8ED5A2" w14:textId="77777777" w:rsidR="00D540F7" w:rsidRPr="001F3967" w:rsidRDefault="00D540F7" w:rsidP="006447EA">
            <w:pPr>
              <w:pStyle w:val="ListParagraph"/>
              <w:numPr>
                <w:ilvl w:val="0"/>
                <w:numId w:val="33"/>
              </w:numPr>
              <w:spacing w:after="160" w:line="320" w:lineRule="atLeast"/>
              <w:ind w:right="60"/>
              <w:rPr>
                <w:rFonts w:ascii="Times New Roman" w:hAnsi="Times New Roman" w:cs="Times New Roman"/>
                <w:sz w:val="20"/>
                <w:szCs w:val="20"/>
              </w:rPr>
            </w:pPr>
            <w:r w:rsidRPr="001F3967">
              <w:rPr>
                <w:rFonts w:ascii="Times New Roman" w:hAnsi="Times New Roman" w:cs="Times New Roman"/>
                <w:sz w:val="20"/>
                <w:szCs w:val="20"/>
              </w:rPr>
              <w:t>Revenue Diversification</w:t>
            </w:r>
          </w:p>
          <w:p w14:paraId="2EA67255" w14:textId="77777777" w:rsidR="00D540F7" w:rsidRPr="001F3967" w:rsidRDefault="00D540F7" w:rsidP="006447EA">
            <w:pPr>
              <w:pStyle w:val="ListParagraph"/>
              <w:numPr>
                <w:ilvl w:val="0"/>
                <w:numId w:val="33"/>
              </w:numPr>
              <w:spacing w:after="160" w:line="320" w:lineRule="atLeast"/>
              <w:ind w:right="60"/>
              <w:rPr>
                <w:rFonts w:ascii="Times New Roman" w:hAnsi="Times New Roman" w:cs="Times New Roman"/>
                <w:sz w:val="20"/>
                <w:szCs w:val="20"/>
              </w:rPr>
            </w:pPr>
            <w:r w:rsidRPr="001F3967">
              <w:rPr>
                <w:rFonts w:ascii="Times New Roman" w:hAnsi="Times New Roman" w:cs="Times New Roman"/>
                <w:sz w:val="20"/>
                <w:szCs w:val="20"/>
              </w:rPr>
              <w:t>Leadership Quality</w:t>
            </w:r>
          </w:p>
          <w:p w14:paraId="427CEF7C" w14:textId="77777777" w:rsidR="00D540F7" w:rsidRPr="001F3967" w:rsidRDefault="00D540F7" w:rsidP="006447EA">
            <w:pPr>
              <w:pStyle w:val="ListParagraph"/>
              <w:numPr>
                <w:ilvl w:val="0"/>
                <w:numId w:val="33"/>
              </w:numPr>
              <w:spacing w:after="160" w:line="320" w:lineRule="atLeast"/>
              <w:ind w:left="426" w:right="60" w:hanging="66"/>
              <w:rPr>
                <w:rFonts w:ascii="Times New Roman" w:hAnsi="Times New Roman" w:cs="Times New Roman"/>
                <w:sz w:val="20"/>
                <w:szCs w:val="20"/>
              </w:rPr>
            </w:pPr>
            <w:r w:rsidRPr="001F3967">
              <w:rPr>
                <w:rFonts w:ascii="Times New Roman" w:hAnsi="Times New Roman" w:cs="Times New Roman"/>
                <w:sz w:val="20"/>
                <w:szCs w:val="20"/>
              </w:rPr>
              <w:t>Organizational Capacity</w:t>
            </w:r>
          </w:p>
          <w:p w14:paraId="6186D27D" w14:textId="49C76F69" w:rsidR="00D540F7" w:rsidRPr="001F3967" w:rsidRDefault="00D540F7" w:rsidP="006447EA">
            <w:pPr>
              <w:pStyle w:val="ListParagraph"/>
              <w:numPr>
                <w:ilvl w:val="0"/>
                <w:numId w:val="33"/>
              </w:numPr>
              <w:spacing w:after="160" w:line="320" w:lineRule="atLeast"/>
              <w:ind w:left="426" w:right="60" w:hanging="66"/>
              <w:rPr>
                <w:rFonts w:ascii="Times New Roman" w:hAnsi="Times New Roman" w:cs="Times New Roman"/>
                <w:sz w:val="20"/>
                <w:szCs w:val="20"/>
              </w:rPr>
            </w:pPr>
            <w:r w:rsidRPr="001F3967">
              <w:rPr>
                <w:rFonts w:ascii="Times New Roman" w:hAnsi="Times New Roman" w:cs="Times New Roman"/>
                <w:sz w:val="20"/>
                <w:szCs w:val="20"/>
              </w:rPr>
              <w:t>Market Demand</w:t>
            </w:r>
          </w:p>
        </w:tc>
        <w:tc>
          <w:tcPr>
            <w:tcW w:w="1522" w:type="dxa"/>
            <w:tcBorders>
              <w:top w:val="single" w:sz="4" w:space="0" w:color="auto"/>
              <w:left w:val="nil"/>
              <w:right w:val="nil"/>
            </w:tcBorders>
            <w:shd w:val="clear" w:color="auto" w:fill="FFFFFF"/>
          </w:tcPr>
          <w:p w14:paraId="0C45F090" w14:textId="28775C6A" w:rsidR="00D540F7" w:rsidRPr="001F3967" w:rsidRDefault="00D540F7" w:rsidP="00A729D6">
            <w:pPr>
              <w:pStyle w:val="ListParagraph"/>
              <w:spacing w:line="320" w:lineRule="atLeast"/>
              <w:ind w:left="426" w:right="60"/>
              <w:rPr>
                <w:rFonts w:ascii="Times New Roman" w:hAnsi="Times New Roman" w:cs="Times New Roman"/>
                <w:sz w:val="20"/>
                <w:szCs w:val="20"/>
              </w:rPr>
            </w:pPr>
            <w:r w:rsidRPr="001F3967">
              <w:rPr>
                <w:rFonts w:ascii="Times New Roman" w:hAnsi="Times New Roman" w:cs="Times New Roman"/>
                <w:sz w:val="20"/>
                <w:szCs w:val="20"/>
              </w:rPr>
              <w:t>0.791</w:t>
            </w:r>
          </w:p>
          <w:p w14:paraId="722A6E0B" w14:textId="6087C4D0" w:rsidR="00D540F7" w:rsidRPr="001F3967" w:rsidRDefault="00D540F7" w:rsidP="00A729D6">
            <w:pPr>
              <w:pStyle w:val="ListParagraph"/>
              <w:spacing w:line="320" w:lineRule="atLeast"/>
              <w:ind w:left="426" w:right="60"/>
              <w:rPr>
                <w:rFonts w:ascii="Times New Roman" w:hAnsi="Times New Roman" w:cs="Times New Roman"/>
                <w:sz w:val="20"/>
                <w:szCs w:val="20"/>
              </w:rPr>
            </w:pPr>
            <w:r w:rsidRPr="001F3967">
              <w:rPr>
                <w:rFonts w:ascii="Times New Roman" w:hAnsi="Times New Roman" w:cs="Times New Roman"/>
                <w:sz w:val="20"/>
                <w:szCs w:val="20"/>
              </w:rPr>
              <w:t>0.833</w:t>
            </w:r>
          </w:p>
          <w:p w14:paraId="60CCA2DE" w14:textId="290EDCA4" w:rsidR="00D540F7" w:rsidRPr="001F3967" w:rsidRDefault="00D540F7" w:rsidP="00A729D6">
            <w:pPr>
              <w:pStyle w:val="ListParagraph"/>
              <w:spacing w:line="320" w:lineRule="atLeast"/>
              <w:ind w:left="426" w:right="60"/>
              <w:rPr>
                <w:rFonts w:ascii="Times New Roman" w:hAnsi="Times New Roman" w:cs="Times New Roman"/>
                <w:sz w:val="20"/>
                <w:szCs w:val="20"/>
              </w:rPr>
            </w:pPr>
            <w:r w:rsidRPr="001F3967">
              <w:rPr>
                <w:rFonts w:ascii="Times New Roman" w:hAnsi="Times New Roman" w:cs="Times New Roman"/>
                <w:sz w:val="20"/>
                <w:szCs w:val="20"/>
              </w:rPr>
              <w:t>0.776</w:t>
            </w:r>
          </w:p>
          <w:p w14:paraId="2590F6B1" w14:textId="513D1C50" w:rsidR="00D540F7" w:rsidRPr="001F3967" w:rsidRDefault="00D540F7" w:rsidP="00A729D6">
            <w:pPr>
              <w:pStyle w:val="ListParagraph"/>
              <w:spacing w:line="320" w:lineRule="atLeast"/>
              <w:ind w:left="426" w:right="60"/>
              <w:rPr>
                <w:rFonts w:ascii="Times New Roman" w:hAnsi="Times New Roman" w:cs="Times New Roman"/>
                <w:sz w:val="20"/>
                <w:szCs w:val="20"/>
              </w:rPr>
            </w:pPr>
            <w:r w:rsidRPr="001F3967">
              <w:rPr>
                <w:rFonts w:ascii="Times New Roman" w:hAnsi="Times New Roman" w:cs="Times New Roman"/>
                <w:sz w:val="20"/>
                <w:szCs w:val="20"/>
              </w:rPr>
              <w:t>0.762</w:t>
            </w:r>
          </w:p>
          <w:p w14:paraId="5BC502A4" w14:textId="13A88D29" w:rsidR="00D540F7" w:rsidRPr="001F3967" w:rsidRDefault="00D540F7" w:rsidP="006447EA">
            <w:pPr>
              <w:pStyle w:val="ListParagraph"/>
              <w:spacing w:line="320" w:lineRule="atLeast"/>
              <w:ind w:left="426" w:right="60"/>
              <w:rPr>
                <w:rFonts w:ascii="Times New Roman" w:hAnsi="Times New Roman" w:cs="Times New Roman"/>
                <w:sz w:val="20"/>
                <w:szCs w:val="20"/>
              </w:rPr>
            </w:pPr>
            <w:r w:rsidRPr="001F3967">
              <w:rPr>
                <w:rFonts w:ascii="Times New Roman" w:hAnsi="Times New Roman" w:cs="Times New Roman"/>
                <w:sz w:val="20"/>
                <w:szCs w:val="20"/>
              </w:rPr>
              <w:t>0.796</w:t>
            </w:r>
          </w:p>
        </w:tc>
      </w:tr>
    </w:tbl>
    <w:p w14:paraId="616AE218" w14:textId="77777777" w:rsidR="000064FD" w:rsidRPr="001F3967" w:rsidRDefault="006447EA" w:rsidP="006447EA">
      <w:pPr>
        <w:spacing w:after="0" w:line="240" w:lineRule="auto"/>
        <w:jc w:val="center"/>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Table 3</w:t>
      </w:r>
    </w:p>
    <w:p w14:paraId="25AD0036" w14:textId="0787022B" w:rsidR="006447EA" w:rsidRPr="001F3967" w:rsidRDefault="00D540F7" w:rsidP="006447EA">
      <w:pPr>
        <w:spacing w:after="0" w:line="240" w:lineRule="auto"/>
        <w:jc w:val="center"/>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Correlation Analysis</w:t>
      </w:r>
    </w:p>
    <w:p w14:paraId="75EF859A" w14:textId="00E5593D" w:rsidR="006447EA" w:rsidRPr="001F3967" w:rsidRDefault="006447EA" w:rsidP="006447EA">
      <w:pPr>
        <w:spacing w:after="0" w:line="240" w:lineRule="auto"/>
        <w:jc w:val="center"/>
        <w:rPr>
          <w:rFonts w:ascii="Times New Roman" w:eastAsia="Batang" w:hAnsi="Times New Roman" w:cs="Times New Roman"/>
          <w:sz w:val="20"/>
          <w:szCs w:val="20"/>
          <w:lang w:eastAsia="ko-KR"/>
        </w:rPr>
      </w:pPr>
    </w:p>
    <w:p w14:paraId="4E1DF52C" w14:textId="77777777" w:rsidR="006447EA" w:rsidRPr="001F3967" w:rsidRDefault="006447EA" w:rsidP="004442D3">
      <w:pPr>
        <w:spacing w:after="0" w:line="240" w:lineRule="auto"/>
        <w:ind w:left="1418" w:firstLine="284"/>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The strongest correlation was observed between revenue diversification and resilience, confirming earlier assertions in the literature (Carroll &amp; Stater, 2009; Hung &amp; Hager, 2019) that diverse funding streams enhance organizational robustness.</w:t>
      </w:r>
    </w:p>
    <w:p w14:paraId="14543635" w14:textId="0F8C6F58" w:rsidR="006447EA" w:rsidRPr="001F3967" w:rsidRDefault="006447EA" w:rsidP="004442D3">
      <w:pPr>
        <w:spacing w:after="0" w:line="240" w:lineRule="auto"/>
        <w:ind w:left="1418" w:firstLine="284"/>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While all variables were positively associated with resilience, correlation does not imply causation. To test for predictive strength, multiple regression was employed.</w:t>
      </w:r>
    </w:p>
    <w:p w14:paraId="19984D3A" w14:textId="77777777" w:rsidR="00E03843" w:rsidRPr="001F3967" w:rsidRDefault="00E03843" w:rsidP="004442D3">
      <w:pPr>
        <w:spacing w:after="0" w:line="240" w:lineRule="auto"/>
        <w:ind w:left="1418" w:firstLine="284"/>
        <w:jc w:val="both"/>
        <w:rPr>
          <w:rFonts w:ascii="Times New Roman" w:eastAsia="Batang" w:hAnsi="Times New Roman" w:cs="Times New Roman"/>
          <w:sz w:val="20"/>
          <w:szCs w:val="20"/>
          <w:lang w:eastAsia="ko-KR"/>
        </w:rPr>
      </w:pPr>
    </w:p>
    <w:p w14:paraId="15CEC58A" w14:textId="1EEC3025" w:rsidR="006447EA" w:rsidRDefault="006447EA" w:rsidP="006447EA">
      <w:pPr>
        <w:spacing w:after="0" w:line="240" w:lineRule="auto"/>
        <w:ind w:firstLine="284"/>
        <w:jc w:val="both"/>
        <w:rPr>
          <w:rFonts w:ascii="Times New Roman" w:eastAsia="Batang" w:hAnsi="Times New Roman" w:cs="Times New Roman"/>
          <w:sz w:val="20"/>
          <w:szCs w:val="20"/>
          <w:lang w:eastAsia="ko-KR"/>
        </w:rPr>
      </w:pPr>
    </w:p>
    <w:p w14:paraId="65FFC8FD" w14:textId="77777777" w:rsidR="00755344" w:rsidRPr="001F3967" w:rsidRDefault="00755344" w:rsidP="006447EA">
      <w:pPr>
        <w:spacing w:after="0" w:line="240" w:lineRule="auto"/>
        <w:ind w:firstLine="284"/>
        <w:jc w:val="both"/>
        <w:rPr>
          <w:rFonts w:ascii="Times New Roman" w:eastAsia="Batang" w:hAnsi="Times New Roman" w:cs="Times New Roman"/>
          <w:sz w:val="20"/>
          <w:szCs w:val="20"/>
          <w:lang w:eastAsia="ko-KR"/>
        </w:rPr>
      </w:pPr>
    </w:p>
    <w:p w14:paraId="478BEB49" w14:textId="77777777" w:rsidR="006447EA" w:rsidRPr="001F3967" w:rsidRDefault="006447EA" w:rsidP="004442D3">
      <w:pPr>
        <w:pStyle w:val="ListParagraph"/>
        <w:numPr>
          <w:ilvl w:val="2"/>
          <w:numId w:val="3"/>
        </w:numPr>
        <w:spacing w:after="0" w:line="240" w:lineRule="auto"/>
        <w:ind w:left="709" w:hanging="142"/>
        <w:rPr>
          <w:rFonts w:ascii="Times New Roman" w:hAnsi="Times New Roman" w:cs="Times New Roman"/>
          <w:b/>
          <w:bCs/>
          <w:sz w:val="20"/>
          <w:szCs w:val="20"/>
        </w:rPr>
      </w:pPr>
      <w:r w:rsidRPr="001F3967">
        <w:rPr>
          <w:rFonts w:ascii="Times New Roman" w:hAnsi="Times New Roman" w:cs="Times New Roman"/>
          <w:b/>
          <w:bCs/>
          <w:sz w:val="20"/>
          <w:szCs w:val="20"/>
        </w:rPr>
        <w:lastRenderedPageBreak/>
        <w:t>Multiple Regression Analysis</w:t>
      </w:r>
    </w:p>
    <w:p w14:paraId="31EB2875" w14:textId="77777777" w:rsidR="00E3298B" w:rsidRPr="001F3967" w:rsidRDefault="006447EA" w:rsidP="00E3298B">
      <w:pPr>
        <w:spacing w:after="0" w:line="240" w:lineRule="auto"/>
        <w:ind w:left="1418"/>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A multiple linear regression analysis was conducted to determine the predictive value of the five independent variables on organizational resilience. The model produced the following results:</w:t>
      </w:r>
    </w:p>
    <w:p w14:paraId="5801A5C2" w14:textId="77777777" w:rsidR="00E3298B" w:rsidRPr="001F3967" w:rsidRDefault="006447EA" w:rsidP="00E3298B">
      <w:pPr>
        <w:spacing w:after="0" w:line="240" w:lineRule="auto"/>
        <w:ind w:left="1418"/>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R² = 0.492: About 49.2% of the variance in resilience can be explained by the model.</w:t>
      </w:r>
    </w:p>
    <w:p w14:paraId="3300B413" w14:textId="1BD1BB0D" w:rsidR="006447EA" w:rsidRPr="001F3967" w:rsidRDefault="006447EA" w:rsidP="00E3298B">
      <w:pPr>
        <w:spacing w:after="0" w:line="240" w:lineRule="auto"/>
        <w:ind w:left="1418"/>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F = 13.187, p &lt; 0.001: The model is statistically significant.</w:t>
      </w:r>
    </w:p>
    <w:p w14:paraId="20A349BB" w14:textId="77777777" w:rsidR="006447EA" w:rsidRPr="001F3967" w:rsidRDefault="006447EA" w:rsidP="006447EA">
      <w:pPr>
        <w:spacing w:after="0" w:line="240" w:lineRule="auto"/>
        <w:ind w:firstLine="284"/>
        <w:jc w:val="both"/>
        <w:rPr>
          <w:rFonts w:ascii="Times New Roman" w:eastAsia="Batang" w:hAnsi="Times New Roman" w:cs="Times New Roman"/>
          <w:sz w:val="20"/>
          <w:szCs w:val="20"/>
          <w:lang w:eastAsia="ko-KR"/>
        </w:rPr>
      </w:pPr>
    </w:p>
    <w:tbl>
      <w:tblPr>
        <w:tblW w:w="73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35"/>
        <w:gridCol w:w="137"/>
        <w:gridCol w:w="1522"/>
        <w:gridCol w:w="1318"/>
        <w:gridCol w:w="1559"/>
      </w:tblGrid>
      <w:tr w:rsidR="00EB05EB" w:rsidRPr="001F3967" w14:paraId="1D51ED14" w14:textId="06CF3348" w:rsidTr="00614B2A">
        <w:trPr>
          <w:cantSplit/>
        </w:trPr>
        <w:tc>
          <w:tcPr>
            <w:tcW w:w="2835" w:type="dxa"/>
            <w:tcBorders>
              <w:top w:val="single" w:sz="4" w:space="0" w:color="auto"/>
              <w:left w:val="nil"/>
              <w:bottom w:val="single" w:sz="4" w:space="0" w:color="auto"/>
              <w:right w:val="nil"/>
            </w:tcBorders>
            <w:shd w:val="clear" w:color="auto" w:fill="FFFFFF"/>
            <w:vAlign w:val="center"/>
          </w:tcPr>
          <w:p w14:paraId="52E22E82" w14:textId="77777777" w:rsidR="006447EA" w:rsidRPr="001F3967" w:rsidRDefault="006447EA" w:rsidP="00A729D6">
            <w:pPr>
              <w:rPr>
                <w:rFonts w:ascii="Times New Roman" w:hAnsi="Times New Roman" w:cs="Times New Roman"/>
                <w:sz w:val="20"/>
                <w:szCs w:val="20"/>
              </w:rPr>
            </w:pPr>
            <w:r w:rsidRPr="001F3967">
              <w:rPr>
                <w:rFonts w:ascii="Times New Roman" w:hAnsi="Times New Roman" w:cs="Times New Roman"/>
                <w:sz w:val="20"/>
                <w:szCs w:val="20"/>
              </w:rPr>
              <w:t xml:space="preserve">       Variable</w:t>
            </w:r>
          </w:p>
        </w:tc>
        <w:tc>
          <w:tcPr>
            <w:tcW w:w="1659" w:type="dxa"/>
            <w:gridSpan w:val="2"/>
            <w:tcBorders>
              <w:top w:val="single" w:sz="4" w:space="0" w:color="auto"/>
              <w:left w:val="nil"/>
              <w:bottom w:val="single" w:sz="4" w:space="0" w:color="auto"/>
              <w:right w:val="nil"/>
            </w:tcBorders>
            <w:shd w:val="clear" w:color="auto" w:fill="FFFFFF"/>
          </w:tcPr>
          <w:p w14:paraId="4A1F1C4C" w14:textId="0D0C5F55" w:rsidR="006447EA" w:rsidRPr="001F3967" w:rsidRDefault="006447EA" w:rsidP="00A729D6">
            <w:pPr>
              <w:jc w:val="center"/>
              <w:rPr>
                <w:rFonts w:ascii="Times New Roman" w:hAnsi="Times New Roman" w:cs="Times New Roman"/>
                <w:sz w:val="20"/>
                <w:szCs w:val="20"/>
              </w:rPr>
            </w:pPr>
            <w:r w:rsidRPr="001F3967">
              <w:rPr>
                <w:rFonts w:ascii="Times New Roman" w:hAnsi="Times New Roman" w:cs="Times New Roman"/>
                <w:sz w:val="20"/>
                <w:szCs w:val="20"/>
              </w:rPr>
              <w:t>Beta Coefficient (β)</w:t>
            </w:r>
          </w:p>
        </w:tc>
        <w:tc>
          <w:tcPr>
            <w:tcW w:w="1318" w:type="dxa"/>
            <w:tcBorders>
              <w:top w:val="single" w:sz="4" w:space="0" w:color="auto"/>
              <w:left w:val="nil"/>
              <w:bottom w:val="single" w:sz="4" w:space="0" w:color="auto"/>
              <w:right w:val="nil"/>
            </w:tcBorders>
            <w:shd w:val="clear" w:color="auto" w:fill="FFFFFF"/>
          </w:tcPr>
          <w:p w14:paraId="268D7F1B" w14:textId="4C01567A" w:rsidR="006447EA" w:rsidRPr="001F3967" w:rsidRDefault="006447EA" w:rsidP="00A729D6">
            <w:pPr>
              <w:pStyle w:val="Default"/>
              <w:jc w:val="center"/>
              <w:rPr>
                <w:color w:val="auto"/>
                <w:sz w:val="20"/>
                <w:szCs w:val="20"/>
              </w:rPr>
            </w:pPr>
            <w:r w:rsidRPr="001F3967">
              <w:rPr>
                <w:color w:val="auto"/>
                <w:sz w:val="20"/>
                <w:szCs w:val="20"/>
              </w:rPr>
              <w:t>t-value</w:t>
            </w:r>
          </w:p>
        </w:tc>
        <w:tc>
          <w:tcPr>
            <w:tcW w:w="1559" w:type="dxa"/>
            <w:tcBorders>
              <w:top w:val="single" w:sz="4" w:space="0" w:color="auto"/>
              <w:left w:val="nil"/>
              <w:bottom w:val="single" w:sz="4" w:space="0" w:color="auto"/>
              <w:right w:val="nil"/>
            </w:tcBorders>
            <w:shd w:val="clear" w:color="auto" w:fill="FFFFFF"/>
          </w:tcPr>
          <w:p w14:paraId="55EF11D1" w14:textId="1086E4EA" w:rsidR="006447EA" w:rsidRPr="001F3967" w:rsidRDefault="00614B2A" w:rsidP="00A729D6">
            <w:pPr>
              <w:pStyle w:val="Default"/>
              <w:jc w:val="center"/>
              <w:rPr>
                <w:color w:val="auto"/>
                <w:sz w:val="20"/>
                <w:szCs w:val="20"/>
              </w:rPr>
            </w:pPr>
            <w:r w:rsidRPr="001F3967">
              <w:rPr>
                <w:color w:val="auto"/>
                <w:sz w:val="20"/>
                <w:szCs w:val="20"/>
              </w:rPr>
              <w:t>Significance (p)</w:t>
            </w:r>
          </w:p>
        </w:tc>
      </w:tr>
      <w:tr w:rsidR="00EB05EB" w:rsidRPr="001F3967" w14:paraId="497B03DE" w14:textId="4F8B75C3" w:rsidTr="00614B2A">
        <w:trPr>
          <w:cantSplit/>
          <w:trHeight w:val="1685"/>
        </w:trPr>
        <w:tc>
          <w:tcPr>
            <w:tcW w:w="2972" w:type="dxa"/>
            <w:gridSpan w:val="2"/>
            <w:tcBorders>
              <w:top w:val="single" w:sz="4" w:space="0" w:color="auto"/>
              <w:left w:val="nil"/>
              <w:bottom w:val="single" w:sz="4" w:space="0" w:color="auto"/>
              <w:right w:val="nil"/>
            </w:tcBorders>
            <w:shd w:val="clear" w:color="auto" w:fill="FFFFFF"/>
          </w:tcPr>
          <w:p w14:paraId="6B00C991" w14:textId="77777777" w:rsidR="006447EA" w:rsidRPr="001F3967" w:rsidRDefault="006447EA" w:rsidP="006447EA">
            <w:pPr>
              <w:pStyle w:val="ListParagraph"/>
              <w:numPr>
                <w:ilvl w:val="0"/>
                <w:numId w:val="34"/>
              </w:numPr>
              <w:spacing w:after="160" w:line="320" w:lineRule="atLeast"/>
              <w:ind w:right="60"/>
              <w:rPr>
                <w:rFonts w:ascii="Times New Roman" w:hAnsi="Times New Roman" w:cs="Times New Roman"/>
                <w:sz w:val="20"/>
                <w:szCs w:val="20"/>
              </w:rPr>
            </w:pPr>
            <w:r w:rsidRPr="001F3967">
              <w:rPr>
                <w:rFonts w:ascii="Times New Roman" w:hAnsi="Times New Roman" w:cs="Times New Roman"/>
                <w:sz w:val="20"/>
                <w:szCs w:val="20"/>
              </w:rPr>
              <w:t>Financial Sustainability</w:t>
            </w:r>
          </w:p>
          <w:p w14:paraId="1841AD73" w14:textId="77777777" w:rsidR="006447EA" w:rsidRPr="001F3967" w:rsidRDefault="006447EA" w:rsidP="006447EA">
            <w:pPr>
              <w:pStyle w:val="ListParagraph"/>
              <w:numPr>
                <w:ilvl w:val="0"/>
                <w:numId w:val="34"/>
              </w:numPr>
              <w:spacing w:after="160" w:line="320" w:lineRule="atLeast"/>
              <w:ind w:right="60"/>
              <w:rPr>
                <w:rFonts w:ascii="Times New Roman" w:hAnsi="Times New Roman" w:cs="Times New Roman"/>
                <w:sz w:val="20"/>
                <w:szCs w:val="20"/>
              </w:rPr>
            </w:pPr>
            <w:r w:rsidRPr="001F3967">
              <w:rPr>
                <w:rFonts w:ascii="Times New Roman" w:hAnsi="Times New Roman" w:cs="Times New Roman"/>
                <w:sz w:val="20"/>
                <w:szCs w:val="20"/>
              </w:rPr>
              <w:t>Revenue Diversification</w:t>
            </w:r>
          </w:p>
          <w:p w14:paraId="2AA7CC4D" w14:textId="77777777" w:rsidR="006447EA" w:rsidRPr="001F3967" w:rsidRDefault="006447EA" w:rsidP="006447EA">
            <w:pPr>
              <w:pStyle w:val="ListParagraph"/>
              <w:numPr>
                <w:ilvl w:val="0"/>
                <w:numId w:val="34"/>
              </w:numPr>
              <w:spacing w:after="160" w:line="320" w:lineRule="atLeast"/>
              <w:ind w:right="60"/>
              <w:rPr>
                <w:rFonts w:ascii="Times New Roman" w:hAnsi="Times New Roman" w:cs="Times New Roman"/>
                <w:sz w:val="20"/>
                <w:szCs w:val="20"/>
              </w:rPr>
            </w:pPr>
            <w:r w:rsidRPr="001F3967">
              <w:rPr>
                <w:rFonts w:ascii="Times New Roman" w:hAnsi="Times New Roman" w:cs="Times New Roman"/>
                <w:sz w:val="20"/>
                <w:szCs w:val="20"/>
              </w:rPr>
              <w:t>Leadership Quality</w:t>
            </w:r>
          </w:p>
          <w:p w14:paraId="0255704E" w14:textId="77777777" w:rsidR="006447EA" w:rsidRPr="001F3967" w:rsidRDefault="006447EA" w:rsidP="006447EA">
            <w:pPr>
              <w:pStyle w:val="ListParagraph"/>
              <w:numPr>
                <w:ilvl w:val="0"/>
                <w:numId w:val="34"/>
              </w:numPr>
              <w:spacing w:after="160" w:line="320" w:lineRule="atLeast"/>
              <w:ind w:left="426" w:right="60" w:hanging="66"/>
              <w:rPr>
                <w:rFonts w:ascii="Times New Roman" w:hAnsi="Times New Roman" w:cs="Times New Roman"/>
                <w:sz w:val="20"/>
                <w:szCs w:val="20"/>
              </w:rPr>
            </w:pPr>
            <w:r w:rsidRPr="001F3967">
              <w:rPr>
                <w:rFonts w:ascii="Times New Roman" w:hAnsi="Times New Roman" w:cs="Times New Roman"/>
                <w:sz w:val="20"/>
                <w:szCs w:val="20"/>
              </w:rPr>
              <w:t>Organizational Capacity</w:t>
            </w:r>
          </w:p>
          <w:p w14:paraId="22C21B02" w14:textId="77777777" w:rsidR="006447EA" w:rsidRPr="001F3967" w:rsidRDefault="006447EA" w:rsidP="006447EA">
            <w:pPr>
              <w:pStyle w:val="ListParagraph"/>
              <w:numPr>
                <w:ilvl w:val="0"/>
                <w:numId w:val="34"/>
              </w:numPr>
              <w:spacing w:after="160" w:line="320" w:lineRule="atLeast"/>
              <w:ind w:left="426" w:right="60" w:hanging="66"/>
              <w:rPr>
                <w:rFonts w:ascii="Times New Roman" w:hAnsi="Times New Roman" w:cs="Times New Roman"/>
                <w:sz w:val="20"/>
                <w:szCs w:val="20"/>
              </w:rPr>
            </w:pPr>
            <w:r w:rsidRPr="001F3967">
              <w:rPr>
                <w:rFonts w:ascii="Times New Roman" w:hAnsi="Times New Roman" w:cs="Times New Roman"/>
                <w:sz w:val="20"/>
                <w:szCs w:val="20"/>
              </w:rPr>
              <w:t>Market Demand</w:t>
            </w:r>
          </w:p>
        </w:tc>
        <w:tc>
          <w:tcPr>
            <w:tcW w:w="1522" w:type="dxa"/>
            <w:tcBorders>
              <w:top w:val="single" w:sz="4" w:space="0" w:color="auto"/>
              <w:left w:val="nil"/>
              <w:bottom w:val="single" w:sz="4" w:space="0" w:color="auto"/>
              <w:right w:val="nil"/>
            </w:tcBorders>
            <w:shd w:val="clear" w:color="auto" w:fill="FFFFFF"/>
          </w:tcPr>
          <w:p w14:paraId="0B92D7D3" w14:textId="546CBF7F" w:rsidR="006447EA" w:rsidRPr="001F3967" w:rsidRDefault="006447EA" w:rsidP="00A729D6">
            <w:pPr>
              <w:pStyle w:val="ListParagraph"/>
              <w:spacing w:line="320" w:lineRule="atLeast"/>
              <w:ind w:left="426" w:right="60"/>
              <w:rPr>
                <w:rFonts w:ascii="Times New Roman" w:hAnsi="Times New Roman" w:cs="Times New Roman"/>
                <w:sz w:val="20"/>
                <w:szCs w:val="20"/>
              </w:rPr>
            </w:pPr>
            <w:r w:rsidRPr="001F3967">
              <w:rPr>
                <w:rFonts w:ascii="Times New Roman" w:hAnsi="Times New Roman" w:cs="Times New Roman"/>
                <w:sz w:val="20"/>
                <w:szCs w:val="20"/>
              </w:rPr>
              <w:t>0.149</w:t>
            </w:r>
          </w:p>
          <w:p w14:paraId="1B6E77B2" w14:textId="560BCAB6" w:rsidR="006447EA" w:rsidRPr="001F3967" w:rsidRDefault="006447EA" w:rsidP="00A729D6">
            <w:pPr>
              <w:pStyle w:val="ListParagraph"/>
              <w:spacing w:line="320" w:lineRule="atLeast"/>
              <w:ind w:left="426" w:right="60"/>
              <w:rPr>
                <w:rFonts w:ascii="Times New Roman" w:hAnsi="Times New Roman" w:cs="Times New Roman"/>
                <w:sz w:val="20"/>
                <w:szCs w:val="20"/>
              </w:rPr>
            </w:pPr>
            <w:r w:rsidRPr="001F3967">
              <w:rPr>
                <w:rFonts w:ascii="Times New Roman" w:hAnsi="Times New Roman" w:cs="Times New Roman"/>
                <w:sz w:val="20"/>
                <w:szCs w:val="20"/>
              </w:rPr>
              <w:t>0.212</w:t>
            </w:r>
          </w:p>
          <w:p w14:paraId="77F2AA6C" w14:textId="22A736FF" w:rsidR="006447EA" w:rsidRPr="001F3967" w:rsidRDefault="006447EA" w:rsidP="00A729D6">
            <w:pPr>
              <w:pStyle w:val="ListParagraph"/>
              <w:spacing w:line="320" w:lineRule="atLeast"/>
              <w:ind w:left="426" w:right="60"/>
              <w:rPr>
                <w:rFonts w:ascii="Times New Roman" w:hAnsi="Times New Roman" w:cs="Times New Roman"/>
                <w:sz w:val="20"/>
                <w:szCs w:val="20"/>
              </w:rPr>
            </w:pPr>
            <w:r w:rsidRPr="001F3967">
              <w:rPr>
                <w:rFonts w:ascii="Times New Roman" w:hAnsi="Times New Roman" w:cs="Times New Roman"/>
                <w:sz w:val="20"/>
                <w:szCs w:val="20"/>
              </w:rPr>
              <w:t>0.167</w:t>
            </w:r>
          </w:p>
          <w:p w14:paraId="3380EB5E" w14:textId="5FDF5DB8" w:rsidR="006447EA" w:rsidRPr="001F3967" w:rsidRDefault="006447EA" w:rsidP="00A729D6">
            <w:pPr>
              <w:pStyle w:val="ListParagraph"/>
              <w:spacing w:line="320" w:lineRule="atLeast"/>
              <w:ind w:left="426" w:right="60"/>
              <w:rPr>
                <w:rFonts w:ascii="Times New Roman" w:hAnsi="Times New Roman" w:cs="Times New Roman"/>
                <w:sz w:val="20"/>
                <w:szCs w:val="20"/>
              </w:rPr>
            </w:pPr>
            <w:r w:rsidRPr="001F3967">
              <w:rPr>
                <w:rFonts w:ascii="Times New Roman" w:hAnsi="Times New Roman" w:cs="Times New Roman"/>
                <w:sz w:val="20"/>
                <w:szCs w:val="20"/>
              </w:rPr>
              <w:t>0.237</w:t>
            </w:r>
          </w:p>
          <w:p w14:paraId="73D251FB" w14:textId="4FB8634C" w:rsidR="006447EA" w:rsidRPr="001F3967" w:rsidRDefault="006447EA" w:rsidP="00A729D6">
            <w:pPr>
              <w:pStyle w:val="ListParagraph"/>
              <w:spacing w:line="320" w:lineRule="atLeast"/>
              <w:ind w:left="426" w:right="60"/>
              <w:rPr>
                <w:rFonts w:ascii="Times New Roman" w:hAnsi="Times New Roman" w:cs="Times New Roman"/>
                <w:sz w:val="20"/>
                <w:szCs w:val="20"/>
              </w:rPr>
            </w:pPr>
            <w:r w:rsidRPr="001F3967">
              <w:rPr>
                <w:rFonts w:ascii="Times New Roman" w:hAnsi="Times New Roman" w:cs="Times New Roman"/>
                <w:sz w:val="20"/>
                <w:szCs w:val="20"/>
              </w:rPr>
              <w:t>0.098</w:t>
            </w:r>
          </w:p>
        </w:tc>
        <w:tc>
          <w:tcPr>
            <w:tcW w:w="1318" w:type="dxa"/>
            <w:tcBorders>
              <w:top w:val="single" w:sz="4" w:space="0" w:color="auto"/>
              <w:left w:val="nil"/>
              <w:bottom w:val="single" w:sz="4" w:space="0" w:color="auto"/>
              <w:right w:val="nil"/>
            </w:tcBorders>
            <w:shd w:val="clear" w:color="auto" w:fill="FFFFFF"/>
          </w:tcPr>
          <w:p w14:paraId="66A00C68" w14:textId="1D0FC2C1" w:rsidR="006447EA" w:rsidRPr="001F3967" w:rsidRDefault="00614B2A" w:rsidP="006447EA">
            <w:pPr>
              <w:pStyle w:val="ListParagraph"/>
              <w:spacing w:line="320" w:lineRule="atLeast"/>
              <w:ind w:left="462" w:right="60"/>
              <w:rPr>
                <w:rFonts w:ascii="Times New Roman" w:hAnsi="Times New Roman" w:cs="Times New Roman"/>
                <w:sz w:val="20"/>
                <w:szCs w:val="20"/>
              </w:rPr>
            </w:pPr>
            <w:r w:rsidRPr="001F3967">
              <w:rPr>
                <w:rFonts w:ascii="Times New Roman" w:hAnsi="Times New Roman" w:cs="Times New Roman"/>
                <w:sz w:val="20"/>
                <w:szCs w:val="20"/>
              </w:rPr>
              <w:t>1</w:t>
            </w:r>
            <w:r w:rsidR="006447EA" w:rsidRPr="001F3967">
              <w:rPr>
                <w:rFonts w:ascii="Times New Roman" w:hAnsi="Times New Roman" w:cs="Times New Roman"/>
                <w:sz w:val="20"/>
                <w:szCs w:val="20"/>
              </w:rPr>
              <w:t>.</w:t>
            </w:r>
            <w:r w:rsidRPr="001F3967">
              <w:rPr>
                <w:rFonts w:ascii="Times New Roman" w:hAnsi="Times New Roman" w:cs="Times New Roman"/>
                <w:sz w:val="20"/>
                <w:szCs w:val="20"/>
              </w:rPr>
              <w:t>3</w:t>
            </w:r>
            <w:r w:rsidR="00E3298B" w:rsidRPr="001F3967">
              <w:rPr>
                <w:rFonts w:ascii="Times New Roman" w:hAnsi="Times New Roman" w:cs="Times New Roman"/>
                <w:sz w:val="20"/>
                <w:szCs w:val="20"/>
              </w:rPr>
              <w:t>2</w:t>
            </w:r>
            <w:r w:rsidRPr="001F3967">
              <w:rPr>
                <w:rFonts w:ascii="Times New Roman" w:hAnsi="Times New Roman" w:cs="Times New Roman"/>
                <w:sz w:val="20"/>
                <w:szCs w:val="20"/>
              </w:rPr>
              <w:t>4</w:t>
            </w:r>
          </w:p>
          <w:p w14:paraId="2508E64C" w14:textId="18EF4C3E" w:rsidR="006447EA" w:rsidRPr="001F3967" w:rsidRDefault="00614B2A" w:rsidP="006447EA">
            <w:pPr>
              <w:pStyle w:val="ListParagraph"/>
              <w:spacing w:line="320" w:lineRule="atLeast"/>
              <w:ind w:left="462" w:right="60"/>
              <w:rPr>
                <w:rFonts w:ascii="Times New Roman" w:hAnsi="Times New Roman" w:cs="Times New Roman"/>
                <w:sz w:val="20"/>
                <w:szCs w:val="20"/>
              </w:rPr>
            </w:pPr>
            <w:r w:rsidRPr="001F3967">
              <w:rPr>
                <w:rFonts w:ascii="Times New Roman" w:hAnsi="Times New Roman" w:cs="Times New Roman"/>
                <w:sz w:val="20"/>
                <w:szCs w:val="20"/>
              </w:rPr>
              <w:t>2.</w:t>
            </w:r>
            <w:r w:rsidR="00E3298B" w:rsidRPr="001F3967">
              <w:rPr>
                <w:rFonts w:ascii="Times New Roman" w:hAnsi="Times New Roman" w:cs="Times New Roman"/>
                <w:sz w:val="20"/>
                <w:szCs w:val="20"/>
              </w:rPr>
              <w:t>225</w:t>
            </w:r>
          </w:p>
          <w:p w14:paraId="6177B664" w14:textId="2B32475A" w:rsidR="006447EA" w:rsidRPr="001F3967" w:rsidRDefault="00614B2A" w:rsidP="006447EA">
            <w:pPr>
              <w:pStyle w:val="ListParagraph"/>
              <w:spacing w:line="320" w:lineRule="atLeast"/>
              <w:ind w:left="462" w:right="60"/>
              <w:rPr>
                <w:rFonts w:ascii="Times New Roman" w:hAnsi="Times New Roman" w:cs="Times New Roman"/>
                <w:sz w:val="20"/>
                <w:szCs w:val="20"/>
              </w:rPr>
            </w:pPr>
            <w:r w:rsidRPr="001F3967">
              <w:rPr>
                <w:rFonts w:ascii="Times New Roman" w:hAnsi="Times New Roman" w:cs="Times New Roman"/>
                <w:sz w:val="20"/>
                <w:szCs w:val="20"/>
              </w:rPr>
              <w:t>1</w:t>
            </w:r>
            <w:r w:rsidR="006447EA" w:rsidRPr="001F3967">
              <w:rPr>
                <w:rFonts w:ascii="Times New Roman" w:hAnsi="Times New Roman" w:cs="Times New Roman"/>
                <w:sz w:val="20"/>
                <w:szCs w:val="20"/>
              </w:rPr>
              <w:t>.</w:t>
            </w:r>
            <w:r w:rsidRPr="001F3967">
              <w:rPr>
                <w:rFonts w:ascii="Times New Roman" w:hAnsi="Times New Roman" w:cs="Times New Roman"/>
                <w:sz w:val="20"/>
                <w:szCs w:val="20"/>
              </w:rPr>
              <w:t>48</w:t>
            </w:r>
            <w:r w:rsidR="00E3298B" w:rsidRPr="001F3967">
              <w:rPr>
                <w:rFonts w:ascii="Times New Roman" w:hAnsi="Times New Roman" w:cs="Times New Roman"/>
                <w:sz w:val="20"/>
                <w:szCs w:val="20"/>
              </w:rPr>
              <w:t>8</w:t>
            </w:r>
          </w:p>
          <w:p w14:paraId="489D10CA" w14:textId="2D455253" w:rsidR="006447EA" w:rsidRPr="001F3967" w:rsidRDefault="00614B2A" w:rsidP="006447EA">
            <w:pPr>
              <w:pStyle w:val="ListParagraph"/>
              <w:spacing w:line="320" w:lineRule="atLeast"/>
              <w:ind w:left="462" w:right="60"/>
              <w:rPr>
                <w:rFonts w:ascii="Times New Roman" w:hAnsi="Times New Roman" w:cs="Times New Roman"/>
                <w:sz w:val="20"/>
                <w:szCs w:val="20"/>
              </w:rPr>
            </w:pPr>
            <w:r w:rsidRPr="001F3967">
              <w:rPr>
                <w:rFonts w:ascii="Times New Roman" w:hAnsi="Times New Roman" w:cs="Times New Roman"/>
                <w:sz w:val="20"/>
                <w:szCs w:val="20"/>
              </w:rPr>
              <w:t>2</w:t>
            </w:r>
            <w:r w:rsidR="006447EA" w:rsidRPr="001F3967">
              <w:rPr>
                <w:rFonts w:ascii="Times New Roman" w:hAnsi="Times New Roman" w:cs="Times New Roman"/>
                <w:sz w:val="20"/>
                <w:szCs w:val="20"/>
              </w:rPr>
              <w:t>.</w:t>
            </w:r>
            <w:r w:rsidR="00E3298B" w:rsidRPr="001F3967">
              <w:rPr>
                <w:rFonts w:ascii="Times New Roman" w:hAnsi="Times New Roman" w:cs="Times New Roman"/>
                <w:sz w:val="20"/>
                <w:szCs w:val="20"/>
              </w:rPr>
              <w:t>120</w:t>
            </w:r>
          </w:p>
          <w:p w14:paraId="4C99F5E4" w14:textId="17197806" w:rsidR="006447EA" w:rsidRPr="001F3967" w:rsidRDefault="00614B2A" w:rsidP="006447EA">
            <w:pPr>
              <w:pStyle w:val="ListParagraph"/>
              <w:spacing w:line="320" w:lineRule="atLeast"/>
              <w:ind w:left="462" w:right="60"/>
              <w:rPr>
                <w:rFonts w:ascii="Times New Roman" w:hAnsi="Times New Roman" w:cs="Times New Roman"/>
                <w:sz w:val="20"/>
                <w:szCs w:val="20"/>
              </w:rPr>
            </w:pPr>
            <w:r w:rsidRPr="001F3967">
              <w:rPr>
                <w:rFonts w:ascii="Times New Roman" w:hAnsi="Times New Roman" w:cs="Times New Roman"/>
                <w:sz w:val="20"/>
                <w:szCs w:val="20"/>
              </w:rPr>
              <w:t>0</w:t>
            </w:r>
            <w:r w:rsidR="006447EA" w:rsidRPr="001F3967">
              <w:rPr>
                <w:rFonts w:ascii="Times New Roman" w:hAnsi="Times New Roman" w:cs="Times New Roman"/>
                <w:sz w:val="20"/>
                <w:szCs w:val="20"/>
              </w:rPr>
              <w:t>.</w:t>
            </w:r>
            <w:r w:rsidRPr="001F3967">
              <w:rPr>
                <w:rFonts w:ascii="Times New Roman" w:hAnsi="Times New Roman" w:cs="Times New Roman"/>
                <w:sz w:val="20"/>
                <w:szCs w:val="20"/>
              </w:rPr>
              <w:t>84</w:t>
            </w:r>
            <w:r w:rsidR="00E3298B" w:rsidRPr="001F3967">
              <w:rPr>
                <w:rFonts w:ascii="Times New Roman" w:hAnsi="Times New Roman" w:cs="Times New Roman"/>
                <w:sz w:val="20"/>
                <w:szCs w:val="20"/>
              </w:rPr>
              <w:t>6</w:t>
            </w:r>
          </w:p>
        </w:tc>
        <w:tc>
          <w:tcPr>
            <w:tcW w:w="1559" w:type="dxa"/>
            <w:tcBorders>
              <w:top w:val="single" w:sz="4" w:space="0" w:color="auto"/>
              <w:left w:val="nil"/>
              <w:bottom w:val="single" w:sz="4" w:space="0" w:color="auto"/>
              <w:right w:val="nil"/>
            </w:tcBorders>
            <w:shd w:val="clear" w:color="auto" w:fill="FFFFFF"/>
          </w:tcPr>
          <w:p w14:paraId="179F4FE2" w14:textId="77777777" w:rsidR="006447EA" w:rsidRPr="001F3967" w:rsidRDefault="00614B2A" w:rsidP="00614B2A">
            <w:pPr>
              <w:pStyle w:val="ListParagraph"/>
              <w:spacing w:line="320" w:lineRule="atLeast"/>
              <w:ind w:left="571" w:right="60"/>
              <w:rPr>
                <w:rFonts w:ascii="Times New Roman" w:hAnsi="Times New Roman" w:cs="Times New Roman"/>
                <w:sz w:val="20"/>
                <w:szCs w:val="20"/>
              </w:rPr>
            </w:pPr>
            <w:r w:rsidRPr="001F3967">
              <w:rPr>
                <w:rFonts w:ascii="Times New Roman" w:hAnsi="Times New Roman" w:cs="Times New Roman"/>
                <w:sz w:val="20"/>
                <w:szCs w:val="20"/>
              </w:rPr>
              <w:t>0.190</w:t>
            </w:r>
          </w:p>
          <w:p w14:paraId="0D72604E" w14:textId="77777777" w:rsidR="00614B2A" w:rsidRPr="001F3967" w:rsidRDefault="00614B2A" w:rsidP="00614B2A">
            <w:pPr>
              <w:pStyle w:val="ListParagraph"/>
              <w:spacing w:line="320" w:lineRule="atLeast"/>
              <w:ind w:left="571" w:right="60"/>
              <w:rPr>
                <w:rFonts w:ascii="Times New Roman" w:hAnsi="Times New Roman" w:cs="Times New Roman"/>
                <w:sz w:val="20"/>
                <w:szCs w:val="20"/>
              </w:rPr>
            </w:pPr>
            <w:r w:rsidRPr="001F3967">
              <w:rPr>
                <w:rFonts w:ascii="Times New Roman" w:hAnsi="Times New Roman" w:cs="Times New Roman"/>
                <w:sz w:val="20"/>
                <w:szCs w:val="20"/>
              </w:rPr>
              <w:t>0.029</w:t>
            </w:r>
          </w:p>
          <w:p w14:paraId="3038CED6" w14:textId="77777777" w:rsidR="00614B2A" w:rsidRPr="001F3967" w:rsidRDefault="00614B2A" w:rsidP="00614B2A">
            <w:pPr>
              <w:pStyle w:val="ListParagraph"/>
              <w:spacing w:line="320" w:lineRule="atLeast"/>
              <w:ind w:left="571" w:right="60"/>
              <w:rPr>
                <w:rFonts w:ascii="Times New Roman" w:hAnsi="Times New Roman" w:cs="Times New Roman"/>
                <w:sz w:val="20"/>
                <w:szCs w:val="20"/>
              </w:rPr>
            </w:pPr>
            <w:r w:rsidRPr="001F3967">
              <w:rPr>
                <w:rFonts w:ascii="Times New Roman" w:hAnsi="Times New Roman" w:cs="Times New Roman"/>
                <w:sz w:val="20"/>
                <w:szCs w:val="20"/>
              </w:rPr>
              <w:t>0.141</w:t>
            </w:r>
          </w:p>
          <w:p w14:paraId="1F605618" w14:textId="77777777" w:rsidR="00614B2A" w:rsidRPr="001F3967" w:rsidRDefault="00614B2A" w:rsidP="00614B2A">
            <w:pPr>
              <w:pStyle w:val="ListParagraph"/>
              <w:spacing w:line="320" w:lineRule="atLeast"/>
              <w:ind w:left="571" w:right="60"/>
              <w:rPr>
                <w:rFonts w:ascii="Times New Roman" w:hAnsi="Times New Roman" w:cs="Times New Roman"/>
                <w:sz w:val="20"/>
                <w:szCs w:val="20"/>
              </w:rPr>
            </w:pPr>
            <w:r w:rsidRPr="001F3967">
              <w:rPr>
                <w:rFonts w:ascii="Times New Roman" w:hAnsi="Times New Roman" w:cs="Times New Roman"/>
                <w:sz w:val="20"/>
                <w:szCs w:val="20"/>
              </w:rPr>
              <w:t>0.038</w:t>
            </w:r>
          </w:p>
          <w:p w14:paraId="343196D4" w14:textId="4BB62098" w:rsidR="00614B2A" w:rsidRPr="001F3967" w:rsidRDefault="00614B2A" w:rsidP="00614B2A">
            <w:pPr>
              <w:pStyle w:val="ListParagraph"/>
              <w:spacing w:line="320" w:lineRule="atLeast"/>
              <w:ind w:left="571" w:right="60"/>
              <w:rPr>
                <w:rFonts w:ascii="Times New Roman" w:hAnsi="Times New Roman" w:cs="Times New Roman"/>
                <w:sz w:val="20"/>
                <w:szCs w:val="20"/>
              </w:rPr>
            </w:pPr>
            <w:r w:rsidRPr="001F3967">
              <w:rPr>
                <w:rFonts w:ascii="Times New Roman" w:hAnsi="Times New Roman" w:cs="Times New Roman"/>
                <w:sz w:val="20"/>
                <w:szCs w:val="20"/>
              </w:rPr>
              <w:t>0.400</w:t>
            </w:r>
          </w:p>
        </w:tc>
      </w:tr>
    </w:tbl>
    <w:p w14:paraId="4D16A733" w14:textId="77777777" w:rsidR="000064FD" w:rsidRPr="001F3967" w:rsidRDefault="00CC51CB" w:rsidP="00CC51CB">
      <w:pPr>
        <w:spacing w:after="0" w:line="240" w:lineRule="auto"/>
        <w:jc w:val="center"/>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Table 4</w:t>
      </w:r>
    </w:p>
    <w:p w14:paraId="76D005D6" w14:textId="651AB821" w:rsidR="00CC51CB" w:rsidRPr="001F3967" w:rsidRDefault="00122241" w:rsidP="00CC51CB">
      <w:pPr>
        <w:spacing w:after="0" w:line="240" w:lineRule="auto"/>
        <w:jc w:val="center"/>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The Coefficient Summary</w:t>
      </w:r>
    </w:p>
    <w:p w14:paraId="53F06813" w14:textId="77777777" w:rsidR="006447EA" w:rsidRPr="001F3967" w:rsidRDefault="006447EA" w:rsidP="006447EA">
      <w:pPr>
        <w:spacing w:after="0" w:line="240" w:lineRule="auto"/>
        <w:ind w:firstLine="284"/>
        <w:jc w:val="both"/>
        <w:rPr>
          <w:rFonts w:ascii="Times New Roman" w:eastAsia="Batang" w:hAnsi="Times New Roman" w:cs="Times New Roman"/>
          <w:sz w:val="20"/>
          <w:szCs w:val="20"/>
          <w:lang w:eastAsia="ko-KR"/>
        </w:rPr>
      </w:pPr>
    </w:p>
    <w:p w14:paraId="1237E10F" w14:textId="54CD9D07" w:rsidR="006447EA" w:rsidRPr="001F3967" w:rsidRDefault="00614B2A" w:rsidP="00DD2E30">
      <w:pPr>
        <w:spacing w:after="0" w:line="240" w:lineRule="auto"/>
        <w:ind w:left="1418"/>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Only two variables</w:t>
      </w:r>
      <w:r w:rsidR="00DD2E30" w:rsidRPr="001F3967">
        <w:rPr>
          <w:rFonts w:ascii="Times New Roman" w:eastAsia="Batang" w:hAnsi="Times New Roman" w:cs="Times New Roman"/>
          <w:sz w:val="20"/>
          <w:szCs w:val="20"/>
          <w:lang w:eastAsia="ko-KR"/>
        </w:rPr>
        <w:t xml:space="preserve"> which is </w:t>
      </w:r>
      <w:r w:rsidRPr="001F3967">
        <w:rPr>
          <w:rFonts w:ascii="Times New Roman" w:eastAsia="Batang" w:hAnsi="Times New Roman" w:cs="Times New Roman"/>
          <w:sz w:val="20"/>
          <w:szCs w:val="20"/>
          <w:lang w:eastAsia="ko-KR"/>
        </w:rPr>
        <w:t>revenue diversification and organizational capacity were statistically significant predictors of organizational resilience (p &lt; 0.05). Financial sustainability, leadership quality, and market demand, although correlated with resilience, did not show significance in the multivariate model.</w:t>
      </w:r>
    </w:p>
    <w:p w14:paraId="465E6619" w14:textId="2E7FB72F" w:rsidR="00614B2A" w:rsidRPr="001F3967" w:rsidRDefault="00614B2A" w:rsidP="00614B2A">
      <w:pPr>
        <w:spacing w:after="0" w:line="240" w:lineRule="auto"/>
        <w:jc w:val="both"/>
        <w:rPr>
          <w:rFonts w:ascii="Times New Roman" w:eastAsia="Batang" w:hAnsi="Times New Roman" w:cs="Times New Roman"/>
          <w:sz w:val="20"/>
          <w:szCs w:val="20"/>
          <w:lang w:eastAsia="ko-KR"/>
        </w:rPr>
      </w:pPr>
    </w:p>
    <w:p w14:paraId="0490D830" w14:textId="5301E76D" w:rsidR="00614B2A" w:rsidRPr="001F3967" w:rsidRDefault="00614B2A" w:rsidP="00614B2A">
      <w:pPr>
        <w:pStyle w:val="ListParagraph"/>
        <w:numPr>
          <w:ilvl w:val="1"/>
          <w:numId w:val="3"/>
        </w:numPr>
        <w:spacing w:after="0" w:line="240" w:lineRule="auto"/>
        <w:ind w:left="0" w:firstLine="0"/>
        <w:rPr>
          <w:rFonts w:ascii="Times New Roman" w:hAnsi="Times New Roman" w:cs="Times New Roman"/>
          <w:b/>
          <w:bCs/>
          <w:sz w:val="20"/>
          <w:szCs w:val="20"/>
        </w:rPr>
      </w:pPr>
      <w:r w:rsidRPr="001F3967">
        <w:rPr>
          <w:rFonts w:ascii="Times New Roman" w:hAnsi="Times New Roman" w:cs="Times New Roman"/>
          <w:b/>
          <w:bCs/>
          <w:sz w:val="20"/>
          <w:szCs w:val="20"/>
        </w:rPr>
        <w:t>Interpretation and Discussion</w:t>
      </w:r>
    </w:p>
    <w:p w14:paraId="0B1813E9" w14:textId="77777777" w:rsidR="00614B2A" w:rsidRPr="001F3967" w:rsidRDefault="00614B2A" w:rsidP="00614B2A">
      <w:pPr>
        <w:pStyle w:val="ListParagraph"/>
        <w:spacing w:after="0" w:line="240" w:lineRule="auto"/>
        <w:ind w:left="0"/>
        <w:rPr>
          <w:rFonts w:ascii="Times New Roman" w:hAnsi="Times New Roman" w:cs="Times New Roman"/>
          <w:b/>
          <w:bCs/>
          <w:sz w:val="20"/>
          <w:szCs w:val="20"/>
        </w:rPr>
      </w:pPr>
    </w:p>
    <w:p w14:paraId="48E00F28" w14:textId="1E6199A0" w:rsidR="00614B2A" w:rsidRPr="001F3967" w:rsidRDefault="00614B2A" w:rsidP="004442D3">
      <w:pPr>
        <w:pStyle w:val="ListParagraph"/>
        <w:numPr>
          <w:ilvl w:val="2"/>
          <w:numId w:val="3"/>
        </w:numPr>
        <w:spacing w:after="0" w:line="240" w:lineRule="auto"/>
        <w:ind w:left="709" w:hanging="142"/>
        <w:rPr>
          <w:rFonts w:ascii="Times New Roman" w:hAnsi="Times New Roman" w:cs="Times New Roman"/>
          <w:b/>
          <w:bCs/>
          <w:sz w:val="20"/>
          <w:szCs w:val="20"/>
        </w:rPr>
      </w:pPr>
      <w:r w:rsidRPr="001F3967">
        <w:rPr>
          <w:rFonts w:ascii="Times New Roman" w:hAnsi="Times New Roman" w:cs="Times New Roman"/>
          <w:b/>
          <w:bCs/>
          <w:sz w:val="20"/>
          <w:szCs w:val="20"/>
        </w:rPr>
        <w:t>Revenue Diversification as a Core Resilience Driver</w:t>
      </w:r>
    </w:p>
    <w:p w14:paraId="7CECC22B" w14:textId="4B9FF239" w:rsidR="00614B2A" w:rsidRPr="001F3967" w:rsidRDefault="00614B2A" w:rsidP="004442D3">
      <w:pPr>
        <w:spacing w:after="0" w:line="240" w:lineRule="auto"/>
        <w:ind w:left="1418"/>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 xml:space="preserve">The strongest predictor of resilience was revenue diversification. This confirms Carroll and Stater’s (2009) and Ormiston et al.'s (2015) assertions that organizations with multiple revenue sources are better positioned to withstand funding shocks and policy shifts. In </w:t>
      </w:r>
      <w:r w:rsidR="00E03843" w:rsidRPr="001F3967">
        <w:rPr>
          <w:rFonts w:ascii="Times New Roman" w:eastAsia="Batang" w:hAnsi="Times New Roman" w:cs="Times New Roman"/>
          <w:sz w:val="20"/>
          <w:szCs w:val="20"/>
          <w:lang w:eastAsia="ko-KR"/>
        </w:rPr>
        <w:t xml:space="preserve">the </w:t>
      </w:r>
      <w:r w:rsidR="00DD2E30" w:rsidRPr="001F3967">
        <w:rPr>
          <w:rFonts w:ascii="Times New Roman" w:eastAsia="Batang" w:hAnsi="Times New Roman" w:cs="Times New Roman"/>
          <w:sz w:val="20"/>
          <w:szCs w:val="20"/>
          <w:lang w:eastAsia="ko-KR"/>
        </w:rPr>
        <w:t>subsidiaries’</w:t>
      </w:r>
      <w:r w:rsidRPr="001F3967">
        <w:rPr>
          <w:rFonts w:ascii="Times New Roman" w:eastAsia="Batang" w:hAnsi="Times New Roman" w:cs="Times New Roman"/>
          <w:sz w:val="20"/>
          <w:szCs w:val="20"/>
          <w:lang w:eastAsia="ko-KR"/>
        </w:rPr>
        <w:t xml:space="preserve"> case, subsidiaries that relied solely on government grants or tuition fees were seen as more vulnerable compared to those with mixed portfolios (e.g., industry-linked programs).</w:t>
      </w:r>
    </w:p>
    <w:p w14:paraId="22154D02" w14:textId="09426C02" w:rsidR="00DD2E30" w:rsidRPr="001F3967" w:rsidRDefault="00614B2A" w:rsidP="00755344">
      <w:pPr>
        <w:spacing w:after="0" w:line="240" w:lineRule="auto"/>
        <w:ind w:left="1418" w:firstLine="284"/>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 xml:space="preserve">This finding highlights the urgent need for </w:t>
      </w:r>
      <w:r w:rsidR="00E03843" w:rsidRPr="001F3967">
        <w:rPr>
          <w:rFonts w:ascii="Times New Roman" w:eastAsia="Batang" w:hAnsi="Times New Roman" w:cs="Times New Roman"/>
          <w:sz w:val="20"/>
          <w:szCs w:val="20"/>
          <w:lang w:eastAsia="ko-KR"/>
        </w:rPr>
        <w:t xml:space="preserve">the subsidiaries   </w:t>
      </w:r>
      <w:r w:rsidRPr="001F3967">
        <w:rPr>
          <w:rFonts w:ascii="Times New Roman" w:eastAsia="Batang" w:hAnsi="Times New Roman" w:cs="Times New Roman"/>
          <w:sz w:val="20"/>
          <w:szCs w:val="20"/>
          <w:lang w:eastAsia="ko-KR"/>
        </w:rPr>
        <w:t>to innovate its financial models. Introducing paid services, strategic partnerships, and licensing of intellectual property can supplement government allocations while preserving the mission.</w:t>
      </w:r>
    </w:p>
    <w:p w14:paraId="5056C3E9" w14:textId="77777777" w:rsidR="00DD2E30" w:rsidRPr="001F3967" w:rsidRDefault="00DD2E30" w:rsidP="00614B2A">
      <w:pPr>
        <w:spacing w:after="0" w:line="240" w:lineRule="auto"/>
        <w:ind w:firstLine="284"/>
        <w:jc w:val="both"/>
        <w:rPr>
          <w:rFonts w:ascii="Times New Roman" w:eastAsia="Batang" w:hAnsi="Times New Roman" w:cs="Times New Roman"/>
          <w:sz w:val="20"/>
          <w:szCs w:val="20"/>
          <w:lang w:eastAsia="ko-KR"/>
        </w:rPr>
      </w:pPr>
    </w:p>
    <w:p w14:paraId="5B819B3D" w14:textId="07A791F2" w:rsidR="00614B2A" w:rsidRPr="001F3967" w:rsidRDefault="00614B2A" w:rsidP="004442D3">
      <w:pPr>
        <w:pStyle w:val="ListParagraph"/>
        <w:numPr>
          <w:ilvl w:val="2"/>
          <w:numId w:val="3"/>
        </w:numPr>
        <w:spacing w:after="0" w:line="240" w:lineRule="auto"/>
        <w:ind w:left="709" w:hanging="142"/>
        <w:rPr>
          <w:rFonts w:ascii="Times New Roman" w:hAnsi="Times New Roman" w:cs="Times New Roman"/>
          <w:b/>
          <w:bCs/>
          <w:sz w:val="20"/>
          <w:szCs w:val="20"/>
        </w:rPr>
      </w:pPr>
      <w:r w:rsidRPr="001F3967">
        <w:rPr>
          <w:rFonts w:ascii="Times New Roman" w:hAnsi="Times New Roman" w:cs="Times New Roman"/>
          <w:b/>
          <w:bCs/>
          <w:sz w:val="20"/>
          <w:szCs w:val="20"/>
        </w:rPr>
        <w:t>Organizational Capacity as Resilience Enabler</w:t>
      </w:r>
    </w:p>
    <w:p w14:paraId="19D8D579" w14:textId="431FD2DA" w:rsidR="00614B2A" w:rsidRPr="001F3967" w:rsidRDefault="00614B2A" w:rsidP="004442D3">
      <w:pPr>
        <w:spacing w:after="0" w:line="240" w:lineRule="auto"/>
        <w:ind w:left="1418"/>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Organizational capacity emerged as the second significant predictor. Consistent with Jung (2017) and Maletič et al. (2014), this suggests that internal systems, competent personnel, and infrastructure play a pivotal role in how well subsidiaries can respond to disruption.</w:t>
      </w:r>
    </w:p>
    <w:p w14:paraId="54D68D57" w14:textId="7F6ACEAF" w:rsidR="00614B2A" w:rsidRPr="001F3967" w:rsidRDefault="00614B2A" w:rsidP="004442D3">
      <w:pPr>
        <w:spacing w:after="0" w:line="240" w:lineRule="auto"/>
        <w:ind w:left="1418" w:firstLine="284"/>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Subsidiaries with advanced IT systems, skilled administrators, and structured internal governance were perceived as more resilient. This underscores the importance of sustained investment in human capital, technology, and internal controls.</w:t>
      </w:r>
    </w:p>
    <w:p w14:paraId="3BAB9F2C" w14:textId="77777777" w:rsidR="00614B2A" w:rsidRPr="001F3967" w:rsidRDefault="00614B2A" w:rsidP="00614B2A">
      <w:pPr>
        <w:spacing w:after="0" w:line="240" w:lineRule="auto"/>
        <w:ind w:firstLine="284"/>
        <w:jc w:val="both"/>
        <w:rPr>
          <w:rFonts w:ascii="Times New Roman" w:eastAsia="Batang" w:hAnsi="Times New Roman" w:cs="Times New Roman"/>
          <w:sz w:val="20"/>
          <w:szCs w:val="20"/>
          <w:lang w:eastAsia="ko-KR"/>
        </w:rPr>
      </w:pPr>
    </w:p>
    <w:p w14:paraId="1C1F00A9" w14:textId="339216D3" w:rsidR="00614B2A" w:rsidRPr="001F3967" w:rsidRDefault="00614B2A" w:rsidP="004442D3">
      <w:pPr>
        <w:pStyle w:val="ListParagraph"/>
        <w:numPr>
          <w:ilvl w:val="2"/>
          <w:numId w:val="3"/>
        </w:numPr>
        <w:spacing w:after="0" w:line="240" w:lineRule="auto"/>
        <w:ind w:left="709" w:hanging="142"/>
        <w:rPr>
          <w:rFonts w:ascii="Times New Roman" w:hAnsi="Times New Roman" w:cs="Times New Roman"/>
          <w:b/>
          <w:bCs/>
          <w:sz w:val="20"/>
          <w:szCs w:val="20"/>
        </w:rPr>
      </w:pPr>
      <w:r w:rsidRPr="001F3967">
        <w:rPr>
          <w:rFonts w:ascii="Times New Roman" w:hAnsi="Times New Roman" w:cs="Times New Roman"/>
          <w:b/>
          <w:bCs/>
          <w:sz w:val="20"/>
          <w:szCs w:val="20"/>
        </w:rPr>
        <w:t>The Puzzle of Financial Sustainability</w:t>
      </w:r>
    </w:p>
    <w:p w14:paraId="01774B12" w14:textId="06827466" w:rsidR="00614B2A" w:rsidRPr="001F3967" w:rsidRDefault="00614B2A" w:rsidP="004442D3">
      <w:pPr>
        <w:spacing w:after="0" w:line="240" w:lineRule="auto"/>
        <w:ind w:left="1418"/>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 xml:space="preserve">Surprisingly, financial sustainability was not a statistically significant predictor in the regression model despite a strong bivariate correlation. This suggests that while it is conceptually important, its effects may be mediated through other variables like </w:t>
      </w:r>
      <w:r w:rsidRPr="001F3967">
        <w:rPr>
          <w:rFonts w:ascii="Times New Roman" w:eastAsia="Batang" w:hAnsi="Times New Roman" w:cs="Times New Roman"/>
          <w:sz w:val="20"/>
          <w:szCs w:val="20"/>
          <w:lang w:eastAsia="ko-KR"/>
        </w:rPr>
        <w:lastRenderedPageBreak/>
        <w:t>revenue diversification or capacity. Alternatively, perceptions of financial sustainability may vary across respondents depending on their roles (finance vs. operations), diluting its statistical impact.</w:t>
      </w:r>
    </w:p>
    <w:p w14:paraId="5887B19A" w14:textId="7EEE130D" w:rsidR="00614B2A" w:rsidRPr="001F3967" w:rsidRDefault="00614B2A" w:rsidP="004442D3">
      <w:pPr>
        <w:spacing w:after="0" w:line="240" w:lineRule="auto"/>
        <w:ind w:left="1418" w:firstLine="283"/>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 xml:space="preserve">Leadership and market demand did not significantly predict resilience in the multivariate model. One possible explanation is the institutional context: </w:t>
      </w:r>
      <w:r w:rsidR="00E03843" w:rsidRPr="001F3967">
        <w:rPr>
          <w:rFonts w:ascii="Times New Roman" w:eastAsia="Batang" w:hAnsi="Times New Roman" w:cs="Times New Roman"/>
          <w:sz w:val="20"/>
          <w:szCs w:val="20"/>
          <w:lang w:eastAsia="ko-KR"/>
        </w:rPr>
        <w:t xml:space="preserve">The </w:t>
      </w:r>
      <w:r w:rsidRPr="001F3967">
        <w:rPr>
          <w:rFonts w:ascii="Times New Roman" w:eastAsia="Batang" w:hAnsi="Times New Roman" w:cs="Times New Roman"/>
          <w:sz w:val="20"/>
          <w:szCs w:val="20"/>
          <w:lang w:eastAsia="ko-KR"/>
        </w:rPr>
        <w:t>subsidiaries often operate within rigid bureaucratic frameworks where leaders have limited autonomy, and market responsiveness is constrained by policy directives.</w:t>
      </w:r>
    </w:p>
    <w:p w14:paraId="0D5A9A1D" w14:textId="1D93A769" w:rsidR="00614B2A" w:rsidRPr="001F3967" w:rsidRDefault="00614B2A" w:rsidP="004442D3">
      <w:pPr>
        <w:spacing w:after="0" w:line="240" w:lineRule="auto"/>
        <w:ind w:left="1418" w:firstLine="283"/>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 xml:space="preserve">This finding contrasts with Southwick et al. (2017), who found leadership to be critical in nonprofit resilience. In </w:t>
      </w:r>
      <w:r w:rsidR="00E03843" w:rsidRPr="001F3967">
        <w:rPr>
          <w:rFonts w:ascii="Times New Roman" w:eastAsia="Batang" w:hAnsi="Times New Roman" w:cs="Times New Roman"/>
          <w:sz w:val="20"/>
          <w:szCs w:val="20"/>
          <w:lang w:eastAsia="ko-KR"/>
        </w:rPr>
        <w:t xml:space="preserve">the </w:t>
      </w:r>
      <w:r w:rsidR="00DD2E30" w:rsidRPr="001F3967">
        <w:rPr>
          <w:rFonts w:ascii="Times New Roman" w:eastAsia="Batang" w:hAnsi="Times New Roman" w:cs="Times New Roman"/>
          <w:sz w:val="20"/>
          <w:szCs w:val="20"/>
          <w:lang w:eastAsia="ko-KR"/>
        </w:rPr>
        <w:t>subsidiaries’</w:t>
      </w:r>
      <w:r w:rsidRPr="001F3967">
        <w:rPr>
          <w:rFonts w:ascii="Times New Roman" w:eastAsia="Batang" w:hAnsi="Times New Roman" w:cs="Times New Roman"/>
          <w:sz w:val="20"/>
          <w:szCs w:val="20"/>
          <w:lang w:eastAsia="ko-KR"/>
        </w:rPr>
        <w:t xml:space="preserve"> case, leadership may matter more in vision-setting than in tactical resilience, where structural constraints limit managerial agency.</w:t>
      </w:r>
    </w:p>
    <w:p w14:paraId="6D0FA0A7" w14:textId="0B930D19" w:rsidR="00614B2A" w:rsidRPr="001F3967" w:rsidRDefault="00614B2A" w:rsidP="00614B2A">
      <w:pPr>
        <w:spacing w:after="0" w:line="240" w:lineRule="auto"/>
        <w:ind w:firstLine="284"/>
        <w:jc w:val="both"/>
        <w:rPr>
          <w:rFonts w:ascii="Times New Roman" w:eastAsia="Batang" w:hAnsi="Times New Roman" w:cs="Times New Roman"/>
          <w:sz w:val="20"/>
          <w:szCs w:val="20"/>
          <w:lang w:eastAsia="ko-KR"/>
        </w:rPr>
      </w:pPr>
    </w:p>
    <w:p w14:paraId="3CD64A72" w14:textId="40033D52" w:rsidR="00614B2A" w:rsidRPr="001F3967" w:rsidRDefault="00614B2A" w:rsidP="004442D3">
      <w:pPr>
        <w:pStyle w:val="ListParagraph"/>
        <w:numPr>
          <w:ilvl w:val="2"/>
          <w:numId w:val="3"/>
        </w:numPr>
        <w:spacing w:after="0" w:line="240" w:lineRule="auto"/>
        <w:ind w:left="709" w:hanging="142"/>
        <w:rPr>
          <w:rFonts w:ascii="Times New Roman" w:hAnsi="Times New Roman" w:cs="Times New Roman"/>
          <w:b/>
          <w:bCs/>
          <w:sz w:val="20"/>
          <w:szCs w:val="20"/>
        </w:rPr>
      </w:pPr>
      <w:r w:rsidRPr="001F3967">
        <w:rPr>
          <w:rFonts w:ascii="Times New Roman" w:hAnsi="Times New Roman" w:cs="Times New Roman"/>
          <w:b/>
          <w:bCs/>
          <w:sz w:val="20"/>
          <w:szCs w:val="20"/>
        </w:rPr>
        <w:t>Implication of Interplay Between Variables</w:t>
      </w:r>
    </w:p>
    <w:p w14:paraId="67D702F4" w14:textId="77777777" w:rsidR="00614B2A" w:rsidRPr="001F3967" w:rsidRDefault="00614B2A" w:rsidP="004442D3">
      <w:pPr>
        <w:spacing w:after="0" w:line="240" w:lineRule="auto"/>
        <w:ind w:left="1418"/>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These findings suggest that resilience is not the product of any single factor, but rather the dynamic interplay of financial, structural, and strategic capabilities. While strong leadership and market demand may help, they are insufficient without institutional robustness and diverse income streams.</w:t>
      </w:r>
    </w:p>
    <w:p w14:paraId="3E99423A" w14:textId="56B41F76" w:rsidR="00614B2A" w:rsidRPr="001F3967" w:rsidRDefault="00614B2A" w:rsidP="004442D3">
      <w:pPr>
        <w:spacing w:after="0" w:line="240" w:lineRule="auto"/>
        <w:ind w:left="1418" w:firstLine="284"/>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This supports the literature’s move away from “heroic” views of leadership (Hamel, 2009) toward systems-oriented resilience built on capacity, culture, and continuity planning.</w:t>
      </w:r>
    </w:p>
    <w:p w14:paraId="5727DE4A" w14:textId="2F87905B" w:rsidR="00FA7F17" w:rsidRPr="001F3967" w:rsidRDefault="00FA7F17" w:rsidP="00FA7F17">
      <w:pPr>
        <w:spacing w:after="0" w:line="240" w:lineRule="auto"/>
        <w:jc w:val="both"/>
        <w:rPr>
          <w:rFonts w:ascii="Times New Roman" w:eastAsia="Batang" w:hAnsi="Times New Roman" w:cs="Times New Roman"/>
          <w:sz w:val="20"/>
          <w:szCs w:val="20"/>
          <w:lang w:eastAsia="ko-KR"/>
        </w:rPr>
      </w:pPr>
    </w:p>
    <w:p w14:paraId="768DFA5C" w14:textId="5EA50C60" w:rsidR="00FA7F17" w:rsidRPr="001F3967" w:rsidRDefault="00FA7F17" w:rsidP="00FA7F17">
      <w:pPr>
        <w:pStyle w:val="ListParagraph"/>
        <w:numPr>
          <w:ilvl w:val="1"/>
          <w:numId w:val="3"/>
        </w:numPr>
        <w:spacing w:after="0" w:line="240" w:lineRule="auto"/>
        <w:ind w:left="0" w:firstLine="0"/>
        <w:rPr>
          <w:rFonts w:ascii="Times New Roman" w:hAnsi="Times New Roman" w:cs="Times New Roman"/>
          <w:b/>
          <w:bCs/>
          <w:sz w:val="20"/>
          <w:szCs w:val="20"/>
        </w:rPr>
      </w:pPr>
      <w:r w:rsidRPr="001F3967">
        <w:rPr>
          <w:rFonts w:ascii="Times New Roman" w:hAnsi="Times New Roman" w:cs="Times New Roman"/>
          <w:b/>
          <w:bCs/>
          <w:sz w:val="20"/>
          <w:szCs w:val="20"/>
        </w:rPr>
        <w:t>Reporting of Findings</w:t>
      </w:r>
    </w:p>
    <w:p w14:paraId="7CD8AA05" w14:textId="77777777" w:rsidR="004442D3" w:rsidRPr="001F3967" w:rsidRDefault="004442D3" w:rsidP="004442D3">
      <w:pPr>
        <w:pStyle w:val="ListParagraph"/>
        <w:spacing w:after="0" w:line="240" w:lineRule="auto"/>
        <w:ind w:left="0"/>
        <w:rPr>
          <w:rFonts w:ascii="Times New Roman" w:hAnsi="Times New Roman" w:cs="Times New Roman"/>
          <w:b/>
          <w:bCs/>
          <w:sz w:val="20"/>
          <w:szCs w:val="20"/>
        </w:rPr>
      </w:pPr>
    </w:p>
    <w:p w14:paraId="3DCD89BE" w14:textId="19D8BF97" w:rsidR="00FA7F17" w:rsidRPr="001F3967" w:rsidRDefault="00FA7F17" w:rsidP="006447EA">
      <w:pPr>
        <w:spacing w:after="0" w:line="240" w:lineRule="auto"/>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 xml:space="preserve">The results of this study provide a nuanced understanding of the internal organizational factors that contribute to financial and strategic resilience among </w:t>
      </w:r>
      <w:r w:rsidR="00E03843" w:rsidRPr="001F3967">
        <w:rPr>
          <w:rFonts w:ascii="Times New Roman" w:eastAsia="Batang" w:hAnsi="Times New Roman" w:cs="Times New Roman"/>
          <w:sz w:val="20"/>
          <w:szCs w:val="20"/>
          <w:lang w:eastAsia="ko-KR"/>
        </w:rPr>
        <w:t xml:space="preserve">the </w:t>
      </w:r>
      <w:r w:rsidRPr="001F3967">
        <w:rPr>
          <w:rFonts w:ascii="Times New Roman" w:eastAsia="Batang" w:hAnsi="Times New Roman" w:cs="Times New Roman"/>
          <w:sz w:val="20"/>
          <w:szCs w:val="20"/>
          <w:lang w:eastAsia="ko-KR"/>
        </w:rPr>
        <w:t xml:space="preserve">subsidiaries. </w:t>
      </w:r>
    </w:p>
    <w:p w14:paraId="573AAF85" w14:textId="77777777" w:rsidR="00FA7F17" w:rsidRPr="001F3967" w:rsidRDefault="00FA7F17" w:rsidP="00FA7F17">
      <w:pPr>
        <w:spacing w:after="0" w:line="240" w:lineRule="auto"/>
        <w:ind w:firstLine="284"/>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 xml:space="preserve">The analysis revealed that revenue diversification and organizational capacity were the only two variables that significantly predicted resilience in the multiple regression model, suggesting their primary importance in determining how well a government-linked social enterprise (GLSE) can adapt, survive, and perform under pressure. </w:t>
      </w:r>
    </w:p>
    <w:p w14:paraId="22350B52" w14:textId="77777777" w:rsidR="00FA7F17" w:rsidRPr="001F3967" w:rsidRDefault="00FA7F17" w:rsidP="00FA7F17">
      <w:pPr>
        <w:spacing w:after="0" w:line="240" w:lineRule="auto"/>
        <w:ind w:firstLine="284"/>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While financial sustainability, leadership quality, and market demand all exhibited strong positive correlations with resilience in the bivariate analysis, they failed to reach statistical significance when tested in the presence of other variables, indicating possible mediating or contextual influences.</w:t>
      </w:r>
    </w:p>
    <w:p w14:paraId="11352AA7" w14:textId="77777777" w:rsidR="00FA7F17" w:rsidRPr="001F3967" w:rsidRDefault="00FA7F17" w:rsidP="00FA7F17">
      <w:pPr>
        <w:spacing w:after="0" w:line="240" w:lineRule="auto"/>
        <w:ind w:firstLine="284"/>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These findings align with the core assumptions of the Triple Bottom Line, Resource-Based View, and Stakeholder Theory, emphasizing the centrality of internal resources and adaptive capacity over purely external or symbolic factors.</w:t>
      </w:r>
    </w:p>
    <w:p w14:paraId="731AE3BF" w14:textId="593752D5" w:rsidR="00FA7F17" w:rsidRPr="001F3967" w:rsidRDefault="00FA7F17" w:rsidP="00FA7F17">
      <w:pPr>
        <w:spacing w:after="0" w:line="240" w:lineRule="auto"/>
        <w:ind w:firstLine="284"/>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 xml:space="preserve">Rather than relying solely on charismatic leadership or reactive alignment with demand, the evidence suggests that long-term resilience in </w:t>
      </w:r>
      <w:r w:rsidR="00E03843" w:rsidRPr="001F3967">
        <w:rPr>
          <w:rFonts w:ascii="Times New Roman" w:eastAsia="Batang" w:hAnsi="Times New Roman" w:cs="Times New Roman"/>
          <w:sz w:val="20"/>
          <w:szCs w:val="20"/>
          <w:lang w:eastAsia="ko-KR"/>
        </w:rPr>
        <w:t>the subsidiaries</w:t>
      </w:r>
      <w:r w:rsidRPr="001F3967">
        <w:rPr>
          <w:rFonts w:ascii="Times New Roman" w:eastAsia="Batang" w:hAnsi="Times New Roman" w:cs="Times New Roman"/>
          <w:sz w:val="20"/>
          <w:szCs w:val="20"/>
          <w:lang w:eastAsia="ko-KR"/>
        </w:rPr>
        <w:t xml:space="preserve"> depends on strengthening operational systems, investing in human capital, and innovating revenue models.</w:t>
      </w:r>
    </w:p>
    <w:p w14:paraId="06595014" w14:textId="543642F2" w:rsidR="00E03843" w:rsidRPr="001F3967" w:rsidRDefault="00FA7F17" w:rsidP="00755344">
      <w:pPr>
        <w:spacing w:after="0" w:line="240" w:lineRule="auto"/>
        <w:ind w:firstLine="284"/>
        <w:jc w:val="both"/>
        <w:rPr>
          <w:rFonts w:ascii="Times New Roman" w:eastAsia="Batang" w:hAnsi="Times New Roman" w:cs="Times New Roman"/>
          <w:sz w:val="20"/>
          <w:szCs w:val="20"/>
          <w:lang w:eastAsia="ko-KR"/>
        </w:rPr>
      </w:pPr>
      <w:r w:rsidRPr="001F3967">
        <w:rPr>
          <w:rFonts w:ascii="Times New Roman" w:eastAsia="Batang" w:hAnsi="Times New Roman" w:cs="Times New Roman"/>
          <w:sz w:val="20"/>
          <w:szCs w:val="20"/>
          <w:lang w:eastAsia="ko-KR"/>
        </w:rPr>
        <w:t>The implications are clear: to remain viable, public-sector organizations with social mandates must move beyond compliance and subsidy dependence and toward proactive capacity-building and strategic diversification.</w:t>
      </w:r>
    </w:p>
    <w:p w14:paraId="39BCDC8B" w14:textId="77777777" w:rsidR="004442D3" w:rsidRPr="001F3967" w:rsidRDefault="004442D3" w:rsidP="00DD2E30">
      <w:pPr>
        <w:spacing w:after="0" w:line="240" w:lineRule="auto"/>
        <w:jc w:val="both"/>
        <w:rPr>
          <w:rFonts w:ascii="Times New Roman" w:hAnsi="Times New Roman" w:cs="Times New Roman"/>
          <w:sz w:val="20"/>
          <w:szCs w:val="20"/>
          <w:highlight w:val="yellow"/>
        </w:rPr>
      </w:pPr>
    </w:p>
    <w:p w14:paraId="42A9C2DF" w14:textId="448A1C1E" w:rsidR="00CB5179" w:rsidRPr="001F3967" w:rsidRDefault="393C1528" w:rsidP="00CB5179">
      <w:pPr>
        <w:pStyle w:val="HeaderL1"/>
        <w:ind w:left="567" w:hanging="567"/>
        <w:rPr>
          <w:rFonts w:ascii="Times New Roman" w:hAnsi="Times New Roman" w:cs="Times New Roman"/>
          <w:b w:val="0"/>
          <w:bCs w:val="0"/>
          <w:sz w:val="20"/>
          <w:szCs w:val="20"/>
        </w:rPr>
      </w:pPr>
      <w:r w:rsidRPr="001F3967">
        <w:rPr>
          <w:rFonts w:ascii="Times New Roman" w:hAnsi="Times New Roman" w:cs="Times New Roman"/>
          <w:sz w:val="20"/>
          <w:szCs w:val="20"/>
        </w:rPr>
        <w:t xml:space="preserve">CONCLUSION </w:t>
      </w:r>
    </w:p>
    <w:p w14:paraId="3F77E1F3" w14:textId="77777777" w:rsidR="00CB5179" w:rsidRPr="001F3967" w:rsidRDefault="00CB5179" w:rsidP="00A27EC4">
      <w:pPr>
        <w:spacing w:after="0" w:line="240" w:lineRule="auto"/>
        <w:jc w:val="both"/>
        <w:rPr>
          <w:rFonts w:ascii="Times New Roman" w:hAnsi="Times New Roman" w:cs="Times New Roman"/>
          <w:sz w:val="20"/>
          <w:szCs w:val="20"/>
        </w:rPr>
      </w:pPr>
    </w:p>
    <w:p w14:paraId="1C7453E3" w14:textId="1706E873" w:rsidR="00900A3C" w:rsidRPr="001F3967" w:rsidRDefault="00D25D36" w:rsidP="00D25D36">
      <w:pPr>
        <w:spacing w:after="0" w:line="240" w:lineRule="auto"/>
        <w:jc w:val="both"/>
        <w:rPr>
          <w:rFonts w:ascii="Times New Roman" w:hAnsi="Times New Roman" w:cs="Times New Roman"/>
          <w:sz w:val="20"/>
          <w:szCs w:val="20"/>
        </w:rPr>
      </w:pPr>
      <w:r w:rsidRPr="001F3967">
        <w:rPr>
          <w:rFonts w:ascii="Times New Roman" w:hAnsi="Times New Roman" w:cs="Times New Roman"/>
          <w:sz w:val="20"/>
          <w:szCs w:val="20"/>
        </w:rPr>
        <w:t xml:space="preserve">This final section synthesizes the findings, explores the broader implications of the research, outlines its limitations, and provides recommendations for future studies. The investigation into </w:t>
      </w:r>
      <w:r w:rsidR="00E03843" w:rsidRPr="001F3967">
        <w:rPr>
          <w:rFonts w:ascii="Times New Roman" w:hAnsi="Times New Roman" w:cs="Times New Roman"/>
          <w:sz w:val="20"/>
          <w:szCs w:val="20"/>
        </w:rPr>
        <w:t xml:space="preserve">the </w:t>
      </w:r>
      <w:r w:rsidR="00E03843" w:rsidRPr="001F3967">
        <w:rPr>
          <w:rFonts w:ascii="Times New Roman" w:hAnsi="Times New Roman" w:cs="Times New Roman"/>
          <w:iCs/>
          <w:sz w:val="20"/>
          <w:szCs w:val="20"/>
        </w:rPr>
        <w:t>n public sector agency</w:t>
      </w:r>
      <w:r w:rsidR="00E03843" w:rsidRPr="001F3967">
        <w:rPr>
          <w:rFonts w:ascii="Times New Roman" w:hAnsi="Times New Roman" w:cs="Times New Roman"/>
          <w:i/>
          <w:sz w:val="20"/>
          <w:szCs w:val="20"/>
        </w:rPr>
        <w:t xml:space="preserve"> </w:t>
      </w:r>
      <w:r w:rsidRPr="001F3967">
        <w:rPr>
          <w:rFonts w:ascii="Times New Roman" w:hAnsi="Times New Roman" w:cs="Times New Roman"/>
          <w:sz w:val="20"/>
          <w:szCs w:val="20"/>
        </w:rPr>
        <w:t xml:space="preserve">subsidiaries reveals compelling insights into how government-linked social enterprises (GLSEs) in can build resilience amidst financial uncertainty, evolving public expectations, and structural limitations. </w:t>
      </w:r>
    </w:p>
    <w:p w14:paraId="5D6AFB7C" w14:textId="40B31CEC" w:rsidR="00D25D36" w:rsidRPr="00755344" w:rsidRDefault="00D25D36" w:rsidP="00755344">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The research confirms that internal organizational dynamics</w:t>
      </w:r>
      <w:r w:rsidR="00E03843" w:rsidRPr="001F3967">
        <w:rPr>
          <w:rFonts w:ascii="Times New Roman" w:hAnsi="Times New Roman" w:cs="Times New Roman"/>
          <w:sz w:val="20"/>
          <w:szCs w:val="20"/>
        </w:rPr>
        <w:t xml:space="preserve"> </w:t>
      </w:r>
      <w:r w:rsidRPr="001F3967">
        <w:rPr>
          <w:rFonts w:ascii="Times New Roman" w:hAnsi="Times New Roman" w:cs="Times New Roman"/>
          <w:sz w:val="20"/>
          <w:szCs w:val="20"/>
        </w:rPr>
        <w:t>particularly revenue diversification and organizational capacity</w:t>
      </w:r>
      <w:r w:rsidR="00E03843" w:rsidRPr="001F3967">
        <w:rPr>
          <w:rFonts w:ascii="Times New Roman" w:hAnsi="Times New Roman" w:cs="Times New Roman"/>
          <w:sz w:val="20"/>
          <w:szCs w:val="20"/>
        </w:rPr>
        <w:t xml:space="preserve"> </w:t>
      </w:r>
      <w:r w:rsidRPr="001F3967">
        <w:rPr>
          <w:rFonts w:ascii="Times New Roman" w:hAnsi="Times New Roman" w:cs="Times New Roman"/>
          <w:sz w:val="20"/>
          <w:szCs w:val="20"/>
        </w:rPr>
        <w:t>are more critical predictors of resilience than leadership charisma or market alignment. This finding has significant ramifications for both theoretical advancement and practical governance reform in the public-social enterprise space.</w:t>
      </w:r>
    </w:p>
    <w:p w14:paraId="693D7334" w14:textId="05A5B3B1" w:rsidR="00E35D74" w:rsidRPr="001F3967" w:rsidRDefault="00E35D74" w:rsidP="00A00F7A">
      <w:pPr>
        <w:numPr>
          <w:ilvl w:val="0"/>
          <w:numId w:val="25"/>
        </w:numPr>
        <w:spacing w:after="0" w:line="240" w:lineRule="auto"/>
        <w:ind w:left="567" w:hanging="567"/>
        <w:rPr>
          <w:rFonts w:ascii="Times New Roman" w:hAnsi="Times New Roman" w:cs="Times New Roman"/>
          <w:b/>
          <w:bCs/>
          <w:sz w:val="20"/>
          <w:szCs w:val="20"/>
        </w:rPr>
      </w:pPr>
      <w:r w:rsidRPr="001F3967">
        <w:rPr>
          <w:rFonts w:ascii="Times New Roman" w:hAnsi="Times New Roman" w:cs="Times New Roman"/>
          <w:b/>
          <w:bCs/>
          <w:sz w:val="20"/>
          <w:szCs w:val="20"/>
        </w:rPr>
        <w:lastRenderedPageBreak/>
        <w:t>Implications of the Study</w:t>
      </w:r>
    </w:p>
    <w:p w14:paraId="74E47E36" w14:textId="77777777" w:rsidR="00B4137E" w:rsidRPr="001F3967" w:rsidRDefault="00B4137E" w:rsidP="00A27EC4">
      <w:pPr>
        <w:spacing w:after="0" w:line="240" w:lineRule="auto"/>
        <w:jc w:val="both"/>
        <w:rPr>
          <w:rFonts w:ascii="Times New Roman" w:hAnsi="Times New Roman" w:cs="Times New Roman"/>
          <w:sz w:val="20"/>
          <w:szCs w:val="20"/>
        </w:rPr>
      </w:pPr>
    </w:p>
    <w:p w14:paraId="70EF8D8E" w14:textId="0CCF1FA5" w:rsidR="00900A3C" w:rsidRPr="001F3967" w:rsidRDefault="00D25D36" w:rsidP="00D25D36">
      <w:pPr>
        <w:spacing w:after="0" w:line="240" w:lineRule="auto"/>
        <w:jc w:val="both"/>
        <w:rPr>
          <w:rFonts w:ascii="Times New Roman" w:hAnsi="Times New Roman" w:cs="Times New Roman"/>
          <w:sz w:val="20"/>
          <w:szCs w:val="20"/>
        </w:rPr>
      </w:pPr>
      <w:r w:rsidRPr="001F3967">
        <w:rPr>
          <w:rFonts w:ascii="Times New Roman" w:hAnsi="Times New Roman" w:cs="Times New Roman"/>
          <w:sz w:val="20"/>
          <w:szCs w:val="20"/>
        </w:rPr>
        <w:t xml:space="preserve">The results carry important theoretical implications, particularly for the intersection of organizational theory, public management, and social enterprise research. The integration of the Triple Bottom Line, Resource-Based View, and Stakeholder Theory provided a comprehensive conceptual framework that proved effective in explaining resilience in hybrid organizations like </w:t>
      </w:r>
      <w:r w:rsidR="00E03843" w:rsidRPr="001F3967">
        <w:rPr>
          <w:rFonts w:ascii="Times New Roman" w:hAnsi="Times New Roman" w:cs="Times New Roman"/>
          <w:sz w:val="20"/>
          <w:szCs w:val="20"/>
        </w:rPr>
        <w:t xml:space="preserve">the </w:t>
      </w:r>
      <w:r w:rsidRPr="001F3967">
        <w:rPr>
          <w:rFonts w:ascii="Times New Roman" w:hAnsi="Times New Roman" w:cs="Times New Roman"/>
          <w:sz w:val="20"/>
          <w:szCs w:val="20"/>
        </w:rPr>
        <w:t xml:space="preserve">subsidiaries. </w:t>
      </w:r>
    </w:p>
    <w:p w14:paraId="3CD1111F" w14:textId="1D690170" w:rsidR="00D25D36" w:rsidRPr="001F3967" w:rsidRDefault="00D25D36" w:rsidP="00900A3C">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The findings support the notion that resilience is not a spontaneous outcome of leadership or environment alone, but rather the product of carefully nurtured internal resources, systems, and income strategies. These theories remain relevant, but the study invites refinements: RBV, for instance, should include resilience as a strategic asset in itself</w:t>
      </w:r>
      <w:r w:rsidR="00E03843" w:rsidRPr="001F3967">
        <w:rPr>
          <w:rFonts w:ascii="Times New Roman" w:hAnsi="Times New Roman" w:cs="Times New Roman"/>
          <w:sz w:val="20"/>
          <w:szCs w:val="20"/>
        </w:rPr>
        <w:t xml:space="preserve"> </w:t>
      </w:r>
      <w:r w:rsidRPr="001F3967">
        <w:rPr>
          <w:rFonts w:ascii="Times New Roman" w:hAnsi="Times New Roman" w:cs="Times New Roman"/>
          <w:sz w:val="20"/>
          <w:szCs w:val="20"/>
        </w:rPr>
        <w:t>particularly in contexts where organizations must deliver both public value and financial return.</w:t>
      </w:r>
    </w:p>
    <w:p w14:paraId="53AB3F97" w14:textId="35BAE264" w:rsidR="00D25D36" w:rsidRPr="001F3967" w:rsidRDefault="00D25D36" w:rsidP="00B87A00">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 xml:space="preserve">From a practical standpoint, the research provides a roadmap for policymakers and leaders of public-sector organizations. First and foremost, revenue diversification must become a policy and operational priority. Subsidiaries overly reliant on government funding or tuition fees are at risk of collapse when budgets shrink or when political priorities shift. </w:t>
      </w:r>
      <w:r w:rsidR="007D42C8" w:rsidRPr="001F3967">
        <w:rPr>
          <w:rFonts w:ascii="Times New Roman" w:hAnsi="Times New Roman" w:cs="Times New Roman"/>
          <w:sz w:val="20"/>
          <w:szCs w:val="20"/>
        </w:rPr>
        <w:t xml:space="preserve">The </w:t>
      </w:r>
      <w:r w:rsidR="00DD2E30" w:rsidRPr="001F3967">
        <w:rPr>
          <w:rFonts w:ascii="Times New Roman" w:hAnsi="Times New Roman" w:cs="Times New Roman"/>
          <w:sz w:val="20"/>
          <w:szCs w:val="20"/>
        </w:rPr>
        <w:t>subsidiaries should</w:t>
      </w:r>
      <w:r w:rsidRPr="001F3967">
        <w:rPr>
          <w:rFonts w:ascii="Times New Roman" w:hAnsi="Times New Roman" w:cs="Times New Roman"/>
          <w:sz w:val="20"/>
          <w:szCs w:val="20"/>
        </w:rPr>
        <w:t xml:space="preserve"> actively encourage and incentivize subsidiaries to explore alternative revenue models</w:t>
      </w:r>
      <w:r w:rsidR="007D42C8" w:rsidRPr="001F3967">
        <w:rPr>
          <w:rFonts w:ascii="Times New Roman" w:hAnsi="Times New Roman" w:cs="Times New Roman"/>
          <w:sz w:val="20"/>
          <w:szCs w:val="20"/>
        </w:rPr>
        <w:t xml:space="preserve"> </w:t>
      </w:r>
      <w:r w:rsidRPr="001F3967">
        <w:rPr>
          <w:rFonts w:ascii="Times New Roman" w:hAnsi="Times New Roman" w:cs="Times New Roman"/>
          <w:sz w:val="20"/>
          <w:szCs w:val="20"/>
        </w:rPr>
        <w:t>such as strategic partnerships, licensing agreements, enterprise spin-offs, and social innovation platforms</w:t>
      </w:r>
      <w:r w:rsidR="007D42C8" w:rsidRPr="001F3967">
        <w:rPr>
          <w:rFonts w:ascii="Times New Roman" w:hAnsi="Times New Roman" w:cs="Times New Roman"/>
          <w:sz w:val="20"/>
          <w:szCs w:val="20"/>
        </w:rPr>
        <w:t xml:space="preserve"> </w:t>
      </w:r>
      <w:r w:rsidRPr="001F3967">
        <w:rPr>
          <w:rFonts w:ascii="Times New Roman" w:hAnsi="Times New Roman" w:cs="Times New Roman"/>
          <w:sz w:val="20"/>
          <w:szCs w:val="20"/>
        </w:rPr>
        <w:t>that align with their core missions.</w:t>
      </w:r>
    </w:p>
    <w:p w14:paraId="59C836B9" w14:textId="77777777" w:rsidR="00D25D36" w:rsidRPr="001F3967" w:rsidRDefault="00D25D36" w:rsidP="00B87A00">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Secondly, organizational capacity building must be institutionalized. This goes beyond hiring talented staff; it includes developing governance frameworks, investing in digital infrastructure, embedding monitoring and evaluation systems, and fostering a culture of continuous learning. Many subsidiaries underperform not because of a lack of mission alignment, but due to outdated systems or resource inefficiencies that weaken institutional resilience.</w:t>
      </w:r>
    </w:p>
    <w:p w14:paraId="1B20B7D2" w14:textId="6F0698CC" w:rsidR="00D25D36" w:rsidRPr="001F3967" w:rsidRDefault="00D25D36" w:rsidP="00B87A00">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The study also has policy implications. Government ministries overseeing GLSEs, must rethink evaluation criteria for public enterprises. Rather than focusing narrowly on profit margins or compliance checklists, assessments should consider resilience indicators</w:t>
      </w:r>
      <w:r w:rsidR="007D42C8" w:rsidRPr="001F3967">
        <w:rPr>
          <w:rFonts w:ascii="Times New Roman" w:hAnsi="Times New Roman" w:cs="Times New Roman"/>
          <w:sz w:val="20"/>
          <w:szCs w:val="20"/>
        </w:rPr>
        <w:t xml:space="preserve"> </w:t>
      </w:r>
      <w:r w:rsidRPr="001F3967">
        <w:rPr>
          <w:rFonts w:ascii="Times New Roman" w:hAnsi="Times New Roman" w:cs="Times New Roman"/>
          <w:sz w:val="20"/>
          <w:szCs w:val="20"/>
        </w:rPr>
        <w:t>such as flexibility, innovation potential, and adaptive learning capacity. This would encourage a more forward-thinking, sustainability-oriented performance culture.</w:t>
      </w:r>
    </w:p>
    <w:p w14:paraId="07FD60E0" w14:textId="69CDD786" w:rsidR="00D25D36" w:rsidRPr="001F3967" w:rsidRDefault="00D25D36" w:rsidP="00B87A00">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 xml:space="preserve">Moreover, the governance model under which </w:t>
      </w:r>
      <w:r w:rsidR="007D42C8" w:rsidRPr="001F3967">
        <w:rPr>
          <w:rFonts w:ascii="Times New Roman" w:hAnsi="Times New Roman" w:cs="Times New Roman"/>
          <w:sz w:val="20"/>
          <w:szCs w:val="20"/>
        </w:rPr>
        <w:t xml:space="preserve">the </w:t>
      </w:r>
      <w:r w:rsidRPr="001F3967">
        <w:rPr>
          <w:rFonts w:ascii="Times New Roman" w:hAnsi="Times New Roman" w:cs="Times New Roman"/>
          <w:sz w:val="20"/>
          <w:szCs w:val="20"/>
        </w:rPr>
        <w:t>subsidiaries operate must be revisited. Many organizations are caught in bureaucratic bottlenecks, facing rigid procurement processes, limited decision-making authority, and low risk tolerance. A differentiated autonomy model</w:t>
      </w:r>
      <w:r w:rsidR="007D42C8" w:rsidRPr="001F3967">
        <w:rPr>
          <w:rFonts w:ascii="Times New Roman" w:hAnsi="Times New Roman" w:cs="Times New Roman"/>
          <w:sz w:val="20"/>
          <w:szCs w:val="20"/>
        </w:rPr>
        <w:t xml:space="preserve"> </w:t>
      </w:r>
      <w:r w:rsidRPr="001F3967">
        <w:rPr>
          <w:rFonts w:ascii="Times New Roman" w:hAnsi="Times New Roman" w:cs="Times New Roman"/>
          <w:sz w:val="20"/>
          <w:szCs w:val="20"/>
        </w:rPr>
        <w:t>where high-performing subsidiaries are granted more strategic and financial freedom</w:t>
      </w:r>
      <w:r w:rsidR="007D42C8" w:rsidRPr="001F3967">
        <w:rPr>
          <w:rFonts w:ascii="Times New Roman" w:hAnsi="Times New Roman" w:cs="Times New Roman"/>
          <w:sz w:val="20"/>
          <w:szCs w:val="20"/>
        </w:rPr>
        <w:t xml:space="preserve"> </w:t>
      </w:r>
      <w:r w:rsidRPr="001F3967">
        <w:rPr>
          <w:rFonts w:ascii="Times New Roman" w:hAnsi="Times New Roman" w:cs="Times New Roman"/>
          <w:sz w:val="20"/>
          <w:szCs w:val="20"/>
        </w:rPr>
        <w:t>could accelerate innovation and resilience across the network.</w:t>
      </w:r>
    </w:p>
    <w:p w14:paraId="76A69564" w14:textId="76135615" w:rsidR="00B4137E" w:rsidRPr="001F3967" w:rsidRDefault="00D25D36" w:rsidP="00B87A00">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 xml:space="preserve">Finally, the study opens the door to regional benchmarking. Institutions like </w:t>
      </w:r>
      <w:r w:rsidR="007D42C8" w:rsidRPr="001F3967">
        <w:rPr>
          <w:rFonts w:ascii="Times New Roman" w:hAnsi="Times New Roman" w:cs="Times New Roman"/>
          <w:sz w:val="20"/>
          <w:szCs w:val="20"/>
        </w:rPr>
        <w:t xml:space="preserve">the subsidiaries   </w:t>
      </w:r>
      <w:r w:rsidRPr="001F3967">
        <w:rPr>
          <w:rFonts w:ascii="Times New Roman" w:hAnsi="Times New Roman" w:cs="Times New Roman"/>
          <w:sz w:val="20"/>
          <w:szCs w:val="20"/>
        </w:rPr>
        <w:t>share structural similarities with Indonesia’s BUMN or India’s public sector undertakings (PSUs). Policymakers should foster dialogue and exchange among these entities to share resilience strategies and reform models that have succeeded in comparable socio-political environments.</w:t>
      </w:r>
    </w:p>
    <w:p w14:paraId="632AEAC0" w14:textId="77777777" w:rsidR="00D25D36" w:rsidRPr="001F3967" w:rsidRDefault="00D25D36" w:rsidP="00D25D36">
      <w:pPr>
        <w:spacing w:after="0" w:line="240" w:lineRule="auto"/>
        <w:jc w:val="both"/>
        <w:rPr>
          <w:rFonts w:ascii="Times New Roman" w:hAnsi="Times New Roman" w:cs="Times New Roman"/>
          <w:b/>
          <w:bCs/>
          <w:sz w:val="20"/>
          <w:szCs w:val="20"/>
        </w:rPr>
      </w:pPr>
    </w:p>
    <w:p w14:paraId="54564FDD" w14:textId="6630BBEE" w:rsidR="00E35D74" w:rsidRPr="001F3967" w:rsidRDefault="00E35D74" w:rsidP="00A00F7A">
      <w:pPr>
        <w:numPr>
          <w:ilvl w:val="0"/>
          <w:numId w:val="25"/>
        </w:numPr>
        <w:spacing w:after="0" w:line="240" w:lineRule="auto"/>
        <w:ind w:left="567" w:hanging="567"/>
        <w:rPr>
          <w:rFonts w:ascii="Times New Roman" w:hAnsi="Times New Roman" w:cs="Times New Roman"/>
          <w:b/>
          <w:bCs/>
          <w:sz w:val="20"/>
          <w:szCs w:val="20"/>
        </w:rPr>
      </w:pPr>
      <w:r w:rsidRPr="001F3967">
        <w:rPr>
          <w:rFonts w:ascii="Times New Roman" w:hAnsi="Times New Roman" w:cs="Times New Roman"/>
          <w:b/>
          <w:bCs/>
          <w:sz w:val="20"/>
          <w:szCs w:val="20"/>
        </w:rPr>
        <w:t>Limitations of the Study</w:t>
      </w:r>
    </w:p>
    <w:p w14:paraId="683E21A8" w14:textId="77777777" w:rsidR="00B4137E" w:rsidRPr="001F3967" w:rsidRDefault="00B4137E" w:rsidP="00A27EC4">
      <w:pPr>
        <w:spacing w:after="0" w:line="240" w:lineRule="auto"/>
        <w:jc w:val="both"/>
        <w:rPr>
          <w:rFonts w:ascii="Times New Roman" w:hAnsi="Times New Roman" w:cs="Times New Roman"/>
          <w:sz w:val="20"/>
          <w:szCs w:val="20"/>
        </w:rPr>
      </w:pPr>
    </w:p>
    <w:p w14:paraId="4247F0D4" w14:textId="77777777" w:rsidR="00D25D36" w:rsidRPr="001F3967" w:rsidRDefault="00D25D36" w:rsidP="00D25D36">
      <w:pPr>
        <w:spacing w:after="0" w:line="240" w:lineRule="auto"/>
        <w:jc w:val="both"/>
        <w:rPr>
          <w:rFonts w:ascii="Times New Roman" w:hAnsi="Times New Roman" w:cs="Times New Roman"/>
          <w:sz w:val="20"/>
          <w:szCs w:val="20"/>
        </w:rPr>
      </w:pPr>
      <w:r w:rsidRPr="001F3967">
        <w:rPr>
          <w:rFonts w:ascii="Times New Roman" w:hAnsi="Times New Roman" w:cs="Times New Roman"/>
          <w:sz w:val="20"/>
          <w:szCs w:val="20"/>
        </w:rPr>
        <w:t>While the findings are valuable, several limitations constrain the generalizability and depth of this research.</w:t>
      </w:r>
    </w:p>
    <w:p w14:paraId="50AD974A" w14:textId="7AD2F885" w:rsidR="00D25D36" w:rsidRPr="001F3967" w:rsidRDefault="00D25D36" w:rsidP="00B87A00">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First, the cross-sectional nature of the study means it captures organizational dynamics at only one point in time. Resilience, by nature, is a temporal phenomenon</w:t>
      </w:r>
      <w:r w:rsidR="007D42C8" w:rsidRPr="001F3967">
        <w:rPr>
          <w:rFonts w:ascii="Times New Roman" w:hAnsi="Times New Roman" w:cs="Times New Roman"/>
          <w:sz w:val="20"/>
          <w:szCs w:val="20"/>
        </w:rPr>
        <w:t xml:space="preserve"> </w:t>
      </w:r>
      <w:r w:rsidRPr="001F3967">
        <w:rPr>
          <w:rFonts w:ascii="Times New Roman" w:hAnsi="Times New Roman" w:cs="Times New Roman"/>
          <w:sz w:val="20"/>
          <w:szCs w:val="20"/>
        </w:rPr>
        <w:t>shaped by changes, shocks, and strategic adaptation over time. A longitudinal study would provide a richer understanding of how these variables evolve and interact in response to events.</w:t>
      </w:r>
    </w:p>
    <w:p w14:paraId="2C6C10EC" w14:textId="77777777" w:rsidR="00D25D36" w:rsidRPr="001F3967" w:rsidRDefault="00D25D36" w:rsidP="00B87A00">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Second, the study relies on self-reported data, which may be subject to bias, especially in hierarchical or politically sensitive organizations. Employees may provide favorable assessments of their institution’s performance due to loyalty, fear of reprisal, or limited access to financial data.</w:t>
      </w:r>
    </w:p>
    <w:p w14:paraId="38323559" w14:textId="77777777" w:rsidR="00D25D36" w:rsidRPr="001F3967" w:rsidRDefault="00D25D36" w:rsidP="00B87A00">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Third, while the sample size was statistically adequate and stratified for representativeness, the model did not distinguish between different types of subsidiaries (e.g., educational, investment, logistics). It is likely that resilience drivers vary by sector. For instance, revenue diversification may matter more in logistics than in higher education, where pricing is often fixed by public policy.</w:t>
      </w:r>
    </w:p>
    <w:p w14:paraId="11C7DC38" w14:textId="77777777" w:rsidR="00D25D36" w:rsidRPr="001F3967" w:rsidRDefault="00D25D36" w:rsidP="00B87A00">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lastRenderedPageBreak/>
        <w:t>Fourth, the model excluded external variables such as political influence, regulatory constraints, macroeconomic conditions, and media scrutiny. These forces undoubtedly impact organizational behavior and resilience but were beyond the scope of this internal-facing study.</w:t>
      </w:r>
    </w:p>
    <w:p w14:paraId="3B447A9A" w14:textId="4240A4A5" w:rsidR="00A00F7A" w:rsidRPr="001F3967" w:rsidRDefault="00D25D36" w:rsidP="00B87A00">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Lastly, although the conceptual framework integrated three prominent theories, it did not include frameworks from crisis management or systems theory, which might offer additional explanatory value in the context of resilience.</w:t>
      </w:r>
    </w:p>
    <w:p w14:paraId="44F91DF7" w14:textId="77777777" w:rsidR="00D25D36" w:rsidRPr="001F3967" w:rsidRDefault="00D25D36" w:rsidP="00D25D36">
      <w:pPr>
        <w:spacing w:after="0" w:line="240" w:lineRule="auto"/>
        <w:jc w:val="both"/>
        <w:rPr>
          <w:rFonts w:ascii="Times New Roman" w:hAnsi="Times New Roman" w:cs="Times New Roman"/>
          <w:sz w:val="20"/>
          <w:szCs w:val="20"/>
        </w:rPr>
      </w:pPr>
    </w:p>
    <w:p w14:paraId="03364103" w14:textId="77777777" w:rsidR="00E35D74" w:rsidRPr="001F3967" w:rsidRDefault="00E35D74" w:rsidP="00A00F7A">
      <w:pPr>
        <w:numPr>
          <w:ilvl w:val="0"/>
          <w:numId w:val="25"/>
        </w:numPr>
        <w:spacing w:after="0" w:line="240" w:lineRule="auto"/>
        <w:ind w:left="567" w:hanging="567"/>
        <w:rPr>
          <w:rFonts w:ascii="Times New Roman" w:hAnsi="Times New Roman" w:cs="Times New Roman"/>
          <w:b/>
          <w:bCs/>
          <w:sz w:val="20"/>
          <w:szCs w:val="20"/>
        </w:rPr>
      </w:pPr>
      <w:r w:rsidRPr="001F3967">
        <w:rPr>
          <w:rFonts w:ascii="Times New Roman" w:hAnsi="Times New Roman" w:cs="Times New Roman"/>
          <w:b/>
          <w:bCs/>
          <w:sz w:val="20"/>
          <w:szCs w:val="20"/>
        </w:rPr>
        <w:t>Recommendations for Future Research</w:t>
      </w:r>
    </w:p>
    <w:p w14:paraId="676D0883" w14:textId="77777777" w:rsidR="00A00F7A" w:rsidRPr="001F3967" w:rsidRDefault="00A00F7A" w:rsidP="00D21FFC">
      <w:pPr>
        <w:spacing w:after="0" w:line="240" w:lineRule="auto"/>
        <w:ind w:left="567"/>
        <w:rPr>
          <w:rFonts w:ascii="Times New Roman" w:hAnsi="Times New Roman" w:cs="Times New Roman"/>
          <w:b/>
          <w:bCs/>
          <w:sz w:val="20"/>
          <w:szCs w:val="20"/>
        </w:rPr>
      </w:pPr>
    </w:p>
    <w:p w14:paraId="665C6E7D" w14:textId="77777777" w:rsidR="00D25D36" w:rsidRPr="001F3967" w:rsidRDefault="00D25D36" w:rsidP="00D25D36">
      <w:pPr>
        <w:spacing w:after="0" w:line="240" w:lineRule="auto"/>
        <w:jc w:val="both"/>
        <w:rPr>
          <w:rFonts w:ascii="Times New Roman" w:hAnsi="Times New Roman" w:cs="Times New Roman"/>
          <w:sz w:val="20"/>
          <w:szCs w:val="20"/>
        </w:rPr>
      </w:pPr>
      <w:r w:rsidRPr="001F3967">
        <w:rPr>
          <w:rFonts w:ascii="Times New Roman" w:hAnsi="Times New Roman" w:cs="Times New Roman"/>
          <w:sz w:val="20"/>
          <w:szCs w:val="20"/>
        </w:rPr>
        <w:t>Given the limitations above, several avenues for future research emerge.</w:t>
      </w:r>
    </w:p>
    <w:p w14:paraId="551C74E9" w14:textId="19669985" w:rsidR="00D25D36" w:rsidRPr="001F3967" w:rsidRDefault="00D25D36" w:rsidP="00B87A00">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 xml:space="preserve">First, scholars should conduct longitudinal studies tracking the resilience of </w:t>
      </w:r>
      <w:r w:rsidR="007D42C8" w:rsidRPr="001F3967">
        <w:rPr>
          <w:rFonts w:ascii="Times New Roman" w:hAnsi="Times New Roman" w:cs="Times New Roman"/>
          <w:sz w:val="20"/>
          <w:szCs w:val="20"/>
        </w:rPr>
        <w:t>the</w:t>
      </w:r>
      <w:r w:rsidR="00CB5FC7" w:rsidRPr="001F3967">
        <w:rPr>
          <w:rFonts w:ascii="Times New Roman" w:hAnsi="Times New Roman" w:cs="Times New Roman"/>
          <w:sz w:val="20"/>
          <w:szCs w:val="20"/>
        </w:rPr>
        <w:t xml:space="preserve"> </w:t>
      </w:r>
      <w:r w:rsidRPr="001F3967">
        <w:rPr>
          <w:rFonts w:ascii="Times New Roman" w:hAnsi="Times New Roman" w:cs="Times New Roman"/>
          <w:sz w:val="20"/>
          <w:szCs w:val="20"/>
        </w:rPr>
        <w:t>subsidiaries (or comparable institutions) across several years, including periods of economic downturn or major policy shifts. This would clarify whether resilience is a stable organizational trait or an adaptive process.</w:t>
      </w:r>
    </w:p>
    <w:p w14:paraId="74AF18A8" w14:textId="77777777" w:rsidR="00D25D36" w:rsidRPr="001F3967" w:rsidRDefault="00D25D36" w:rsidP="00B87A00">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Second, researchers could pursue comparative case studies between successful and struggling subsidiaries. In-depth qualitative analysis would reveal contextual nuances and provide rich insights into how leadership decisions, organizational culture, and strategic innovation influence resilience outcomes.</w:t>
      </w:r>
    </w:p>
    <w:p w14:paraId="6C444702" w14:textId="77777777" w:rsidR="00D25D36" w:rsidRPr="001F3967" w:rsidRDefault="00D25D36" w:rsidP="00B87A00">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Third, future research should explore external drivers of resilience by integrating political economy, governance, and crisis-response variables. Studies could investigate how changing political administrations, government audits, or media scandals affect organizational resilience in GLSEs.</w:t>
      </w:r>
    </w:p>
    <w:p w14:paraId="2DE49BCE" w14:textId="31167C4B" w:rsidR="00E35D74" w:rsidRPr="001F3967" w:rsidRDefault="00D25D36" w:rsidP="00B87A00">
      <w:pPr>
        <w:spacing w:after="0" w:line="240" w:lineRule="auto"/>
        <w:ind w:firstLine="284"/>
        <w:jc w:val="both"/>
        <w:rPr>
          <w:rFonts w:ascii="Times New Roman" w:hAnsi="Times New Roman" w:cs="Times New Roman"/>
          <w:sz w:val="20"/>
          <w:szCs w:val="20"/>
        </w:rPr>
      </w:pPr>
      <w:r w:rsidRPr="001F3967">
        <w:rPr>
          <w:rFonts w:ascii="Times New Roman" w:hAnsi="Times New Roman" w:cs="Times New Roman"/>
          <w:sz w:val="20"/>
          <w:szCs w:val="20"/>
        </w:rPr>
        <w:t>Lastly, researchers might explore the impact of digital transformation and innovation on resilience. As public-sector organizations increasingly embrace digital platforms, new opportunities for data-driven resilience emerge—from predictive analytics to resource optimization</w:t>
      </w:r>
      <w:r w:rsidR="00B87A00" w:rsidRPr="001F3967">
        <w:rPr>
          <w:rFonts w:ascii="Times New Roman" w:hAnsi="Times New Roman" w:cs="Times New Roman"/>
          <w:sz w:val="20"/>
          <w:szCs w:val="20"/>
        </w:rPr>
        <w:t>.</w:t>
      </w:r>
    </w:p>
    <w:p w14:paraId="240A0DE1" w14:textId="6E574D5A" w:rsidR="003C7559" w:rsidRPr="001F3967" w:rsidRDefault="003C7559" w:rsidP="00A27EC4">
      <w:pPr>
        <w:spacing w:after="0" w:line="240" w:lineRule="auto"/>
        <w:jc w:val="both"/>
        <w:rPr>
          <w:rFonts w:ascii="Times New Roman" w:hAnsi="Times New Roman" w:cs="Times New Roman"/>
          <w:sz w:val="20"/>
          <w:szCs w:val="20"/>
        </w:rPr>
      </w:pPr>
    </w:p>
    <w:p w14:paraId="263F7899" w14:textId="77777777" w:rsidR="00EC0C60" w:rsidRPr="001F3967" w:rsidRDefault="00EC0C60" w:rsidP="00A27EC4">
      <w:pPr>
        <w:spacing w:after="0" w:line="240" w:lineRule="auto"/>
        <w:jc w:val="both"/>
        <w:rPr>
          <w:rFonts w:ascii="Times New Roman" w:hAnsi="Times New Roman" w:cs="Times New Roman"/>
          <w:sz w:val="20"/>
          <w:szCs w:val="20"/>
        </w:rPr>
      </w:pPr>
    </w:p>
    <w:p w14:paraId="4CAA1627" w14:textId="3F17F1CD" w:rsidR="007E6EA2" w:rsidRPr="001F3967" w:rsidRDefault="007E6EA2" w:rsidP="00A27EC4">
      <w:pPr>
        <w:spacing w:after="0" w:line="240" w:lineRule="auto"/>
        <w:rPr>
          <w:rFonts w:ascii="Times New Roman" w:hAnsi="Times New Roman" w:cs="Times New Roman"/>
          <w:b/>
          <w:bCs/>
          <w:sz w:val="20"/>
          <w:szCs w:val="20"/>
        </w:rPr>
      </w:pPr>
      <w:bookmarkStart w:id="3" w:name="_Hlk66653821"/>
      <w:bookmarkEnd w:id="1"/>
    </w:p>
    <w:p w14:paraId="14A42AB4" w14:textId="7906FE13" w:rsidR="00D25D36" w:rsidRPr="001F3967" w:rsidRDefault="00D25D36" w:rsidP="00A27EC4">
      <w:pPr>
        <w:spacing w:after="0" w:line="240" w:lineRule="auto"/>
        <w:rPr>
          <w:rFonts w:ascii="Times New Roman" w:hAnsi="Times New Roman" w:cs="Times New Roman"/>
          <w:b/>
          <w:bCs/>
          <w:sz w:val="20"/>
          <w:szCs w:val="20"/>
        </w:rPr>
      </w:pPr>
    </w:p>
    <w:p w14:paraId="1C4E1212" w14:textId="20F2F39E" w:rsidR="00A72921" w:rsidRPr="001F3967" w:rsidRDefault="00A72921">
      <w:pPr>
        <w:rPr>
          <w:rFonts w:ascii="Times New Roman" w:hAnsi="Times New Roman" w:cs="Times New Roman"/>
          <w:b/>
          <w:bCs/>
          <w:sz w:val="20"/>
          <w:szCs w:val="20"/>
        </w:rPr>
      </w:pPr>
      <w:r w:rsidRPr="001F3967">
        <w:rPr>
          <w:rFonts w:ascii="Times New Roman" w:hAnsi="Times New Roman" w:cs="Times New Roman"/>
          <w:b/>
          <w:bCs/>
          <w:sz w:val="20"/>
          <w:szCs w:val="20"/>
        </w:rPr>
        <w:br w:type="page"/>
      </w:r>
    </w:p>
    <w:p w14:paraId="6F579747" w14:textId="6871CEB1" w:rsidR="00C52D12" w:rsidRPr="001F3967" w:rsidRDefault="00C52D12" w:rsidP="00C52D12">
      <w:pPr>
        <w:jc w:val="center"/>
        <w:rPr>
          <w:rFonts w:ascii="Times New Roman" w:hAnsi="Times New Roman" w:cs="Times New Roman"/>
          <w:b/>
          <w:bCs/>
          <w:sz w:val="20"/>
          <w:szCs w:val="20"/>
        </w:rPr>
      </w:pPr>
      <w:r w:rsidRPr="001F3967">
        <w:rPr>
          <w:rFonts w:ascii="Times New Roman" w:hAnsi="Times New Roman" w:cs="Times New Roman"/>
          <w:b/>
          <w:bCs/>
          <w:sz w:val="20"/>
          <w:szCs w:val="20"/>
        </w:rPr>
        <w:lastRenderedPageBreak/>
        <w:t>REFERENCES</w:t>
      </w:r>
    </w:p>
    <w:sdt>
      <w:sdtPr>
        <w:rPr>
          <w:rFonts w:ascii="Times New Roman" w:eastAsiaTheme="majorEastAsia" w:hAnsi="Times New Roman" w:cs="Times New Roman"/>
          <w:b/>
          <w:bCs/>
          <w:kern w:val="32"/>
          <w:sz w:val="20"/>
          <w:szCs w:val="20"/>
          <w:lang w:val="en-MY"/>
        </w:rPr>
        <w:tag w:val="MENDELEY_BIBLIOGRAPHY"/>
        <w:id w:val="1657792503"/>
        <w:placeholder>
          <w:docPart w:val="50CD4E4817E2430BB0730F45DFA76373"/>
        </w:placeholder>
      </w:sdtPr>
      <w:sdtEndPr>
        <w:rPr>
          <w:rFonts w:eastAsia="Times New Roman"/>
          <w:b w:val="0"/>
        </w:rPr>
      </w:sdtEndPr>
      <w:sdtContent>
        <w:p w14:paraId="2AE90F1F" w14:textId="006280E2"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 xml:space="preserve">Al-Qudah, A. A., Al-Okaily, M., &amp; Alqudah, H. (2022). The </w:t>
          </w:r>
          <w:r w:rsidR="007D42C8" w:rsidRPr="001F3967">
            <w:rPr>
              <w:rFonts w:ascii="Times New Roman" w:hAnsi="Times New Roman" w:cs="Times New Roman"/>
              <w:sz w:val="20"/>
              <w:szCs w:val="20"/>
            </w:rPr>
            <w:t>Relationship Between Social Entrepreneurship and Sustainable Development from Economic Growth Perspective: 15 ‘</w:t>
          </w:r>
          <w:r w:rsidRPr="001F3967">
            <w:rPr>
              <w:rFonts w:ascii="Times New Roman" w:hAnsi="Times New Roman" w:cs="Times New Roman"/>
              <w:sz w:val="20"/>
              <w:szCs w:val="20"/>
            </w:rPr>
            <w:t xml:space="preserve">RCEP’ </w:t>
          </w:r>
          <w:r w:rsidR="007D42C8" w:rsidRPr="001F3967">
            <w:rPr>
              <w:rFonts w:ascii="Times New Roman" w:hAnsi="Times New Roman" w:cs="Times New Roman"/>
              <w:sz w:val="20"/>
              <w:szCs w:val="20"/>
            </w:rPr>
            <w:t>Countries</w:t>
          </w:r>
          <w:r w:rsidRPr="001F3967">
            <w:rPr>
              <w:rFonts w:ascii="Times New Roman" w:hAnsi="Times New Roman" w:cs="Times New Roman"/>
              <w:sz w:val="20"/>
              <w:szCs w:val="20"/>
            </w:rPr>
            <w:t>. Journal of Sustainable Finance and Investment, 12(1), 44–61. https://doi.org/10.1080/20430795.2021.1880219</w:t>
          </w:r>
        </w:p>
        <w:p w14:paraId="49F5EEA7" w14:textId="77777777"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Brandsen, T., &amp; Karré, P. M. (2011). Hybrid Organizations: No Cause for Concern? International Journal of Public Administration, 34(13), 827–836. https://doi.org/10.1080/01900692.2011.605090</w:t>
          </w:r>
        </w:p>
        <w:p w14:paraId="7AD16710" w14:textId="0AA3B030"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 xml:space="preserve">Carroll, D. A., &amp; Stater, K. J. (2009). Revenue </w:t>
          </w:r>
          <w:r w:rsidR="007D42C8" w:rsidRPr="001F3967">
            <w:rPr>
              <w:rFonts w:ascii="Times New Roman" w:hAnsi="Times New Roman" w:cs="Times New Roman"/>
              <w:sz w:val="20"/>
              <w:szCs w:val="20"/>
            </w:rPr>
            <w:t xml:space="preserve">Diversification in Nonprofit Organizations: </w:t>
          </w:r>
          <w:r w:rsidRPr="001F3967">
            <w:rPr>
              <w:rFonts w:ascii="Times New Roman" w:hAnsi="Times New Roman" w:cs="Times New Roman"/>
              <w:sz w:val="20"/>
              <w:szCs w:val="20"/>
            </w:rPr>
            <w:t xml:space="preserve">Does </w:t>
          </w:r>
          <w:r w:rsidR="007D42C8" w:rsidRPr="001F3967">
            <w:rPr>
              <w:rFonts w:ascii="Times New Roman" w:hAnsi="Times New Roman" w:cs="Times New Roman"/>
              <w:sz w:val="20"/>
              <w:szCs w:val="20"/>
            </w:rPr>
            <w:t xml:space="preserve">It Lead to Financial Stability? </w:t>
          </w:r>
          <w:r w:rsidRPr="001F3967">
            <w:rPr>
              <w:rFonts w:ascii="Times New Roman" w:hAnsi="Times New Roman" w:cs="Times New Roman"/>
              <w:sz w:val="20"/>
              <w:szCs w:val="20"/>
            </w:rPr>
            <w:t>Journal of Public Administration Research and Theory, 19(4), 947–966. https://doi.org/10.1093/jopart/mun025</w:t>
          </w:r>
        </w:p>
        <w:p w14:paraId="4E6BCE51" w14:textId="20AA3CDD"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 xml:space="preserve">Ceptureanu, S. I., Ceptureanu, E. G., Orzan, M. C., &amp; Marin, I. (2017). Toward </w:t>
          </w:r>
          <w:r w:rsidR="007D42C8" w:rsidRPr="001F3967">
            <w:rPr>
              <w:rFonts w:ascii="Times New Roman" w:hAnsi="Times New Roman" w:cs="Times New Roman"/>
              <w:sz w:val="20"/>
              <w:szCs w:val="20"/>
            </w:rPr>
            <w:t xml:space="preserve">A </w:t>
          </w:r>
          <w:r w:rsidRPr="001F3967">
            <w:rPr>
              <w:rFonts w:ascii="Times New Roman" w:hAnsi="Times New Roman" w:cs="Times New Roman"/>
              <w:sz w:val="20"/>
              <w:szCs w:val="20"/>
            </w:rPr>
            <w:t xml:space="preserve">Romanian </w:t>
          </w:r>
          <w:r w:rsidR="007D42C8" w:rsidRPr="001F3967">
            <w:rPr>
              <w:rFonts w:ascii="Times New Roman" w:hAnsi="Times New Roman" w:cs="Times New Roman"/>
              <w:sz w:val="20"/>
              <w:szCs w:val="20"/>
            </w:rPr>
            <w:t xml:space="preserve">Npos Sustainability Model: </w:t>
          </w:r>
          <w:r w:rsidRPr="001F3967">
            <w:rPr>
              <w:rFonts w:ascii="Times New Roman" w:hAnsi="Times New Roman" w:cs="Times New Roman"/>
              <w:sz w:val="20"/>
              <w:szCs w:val="20"/>
            </w:rPr>
            <w:t xml:space="preserve">Determinants </w:t>
          </w:r>
          <w:r w:rsidR="007D42C8" w:rsidRPr="001F3967">
            <w:rPr>
              <w:rFonts w:ascii="Times New Roman" w:hAnsi="Times New Roman" w:cs="Times New Roman"/>
              <w:sz w:val="20"/>
              <w:szCs w:val="20"/>
            </w:rPr>
            <w:t xml:space="preserve">of Sustainability. </w:t>
          </w:r>
          <w:r w:rsidRPr="001F3967">
            <w:rPr>
              <w:rFonts w:ascii="Times New Roman" w:hAnsi="Times New Roman" w:cs="Times New Roman"/>
              <w:sz w:val="20"/>
              <w:szCs w:val="20"/>
            </w:rPr>
            <w:t>Sustainability (Switzerland), 9(6). https://doi.org/10.3390/su9060966</w:t>
          </w:r>
        </w:p>
        <w:p w14:paraId="18D6DCDC" w14:textId="77777777"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 xml:space="preserve">Fiksel, J., Goodman, I., &amp; Hecht, A. (2019). Resilience: Navigating toward a Sustainable Future </w:t>
          </w:r>
          <w:proofErr w:type="gramStart"/>
          <w:r w:rsidRPr="001F3967">
            <w:rPr>
              <w:rFonts w:ascii="Times New Roman" w:hAnsi="Times New Roman" w:cs="Times New Roman"/>
              <w:sz w:val="20"/>
              <w:szCs w:val="20"/>
            </w:rPr>
            <w:t>The</w:t>
          </w:r>
          <w:proofErr w:type="gramEnd"/>
          <w:r w:rsidRPr="001F3967">
            <w:rPr>
              <w:rFonts w:ascii="Times New Roman" w:hAnsi="Times New Roman" w:cs="Times New Roman"/>
              <w:sz w:val="20"/>
              <w:szCs w:val="20"/>
            </w:rPr>
            <w:t xml:space="preserve"> Need for Resilience.</w:t>
          </w:r>
        </w:p>
        <w:p w14:paraId="05E398D3" w14:textId="77777777"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Gnutzmann, H., Kowalewski, O., &amp; Śpiewanowski, P. (2020). Market Structure and Resilience: Evidence from Potash Mine Disasters. American Journal of Agricultural Economics, 102(3), 911–933. https://doi.org/10.1093/ajae/aaz041</w:t>
          </w:r>
        </w:p>
        <w:p w14:paraId="076A9346" w14:textId="77C63CDD"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 xml:space="preserve">Haigh, N., Hoffman, A. J., &amp; Ross, S. M. (2014). The New Heretics: Hybrid Organizations and the Challenges They Present </w:t>
          </w:r>
          <w:r w:rsidR="007D42C8" w:rsidRPr="001F3967">
            <w:rPr>
              <w:rFonts w:ascii="Times New Roman" w:hAnsi="Times New Roman" w:cs="Times New Roman"/>
              <w:sz w:val="20"/>
              <w:szCs w:val="20"/>
            </w:rPr>
            <w:t>to</w:t>
          </w:r>
          <w:r w:rsidRPr="001F3967">
            <w:rPr>
              <w:rFonts w:ascii="Times New Roman" w:hAnsi="Times New Roman" w:cs="Times New Roman"/>
              <w:sz w:val="20"/>
              <w:szCs w:val="20"/>
            </w:rPr>
            <w:t xml:space="preserve"> Corporate Sustainability. http://ssrn.com/abstract=2932327</w:t>
          </w:r>
        </w:p>
        <w:p w14:paraId="1EA095E2" w14:textId="5B386C7B"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 xml:space="preserve">Haldar, S. (2019). Towards </w:t>
          </w:r>
          <w:r w:rsidR="007D42C8" w:rsidRPr="001F3967">
            <w:rPr>
              <w:rFonts w:ascii="Times New Roman" w:hAnsi="Times New Roman" w:cs="Times New Roman"/>
              <w:sz w:val="20"/>
              <w:szCs w:val="20"/>
            </w:rPr>
            <w:t>A Conceptual Understanding of Sustainability-Driven Entrepreneurship.</w:t>
          </w:r>
          <w:r w:rsidRPr="001F3967">
            <w:rPr>
              <w:rFonts w:ascii="Times New Roman" w:hAnsi="Times New Roman" w:cs="Times New Roman"/>
              <w:sz w:val="20"/>
              <w:szCs w:val="20"/>
            </w:rPr>
            <w:t xml:space="preserve"> In Corporate Social Responsibility and Environmental Management (Vol. 26, Issue 6, pp. 1157–1170). John Wiley and Sons Ltd. https://doi.org/10.1002/csr.1763</w:t>
          </w:r>
        </w:p>
        <w:p w14:paraId="11A2D473" w14:textId="77777777"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Hamel, G. (2009). HBR A T L A R G E Moon Shots for Management What great challenges must we tackle to reinvent management and make it more relevant to a volatile world? www.hbr.org</w:t>
          </w:r>
        </w:p>
        <w:p w14:paraId="2EBCEEFC" w14:textId="5649DBCE"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 xml:space="preserve">Hoang Tien, N., Ba Hung Anh, D., Chi, H., Nguyen Minh Ngoc, A., &amp; Do Thi Nhi, M. Y. (2019). </w:t>
          </w:r>
          <w:r w:rsidR="007D42C8" w:rsidRPr="001F3967">
            <w:rPr>
              <w:rFonts w:ascii="Times New Roman" w:hAnsi="Times New Roman" w:cs="Times New Roman"/>
              <w:sz w:val="20"/>
              <w:szCs w:val="20"/>
            </w:rPr>
            <w:t xml:space="preserve">Sustainable Social Entrepreneurship </w:t>
          </w:r>
          <w:proofErr w:type="gramStart"/>
          <w:r w:rsidR="007D42C8" w:rsidRPr="001F3967">
            <w:rPr>
              <w:rFonts w:ascii="Times New Roman" w:hAnsi="Times New Roman" w:cs="Times New Roman"/>
              <w:sz w:val="20"/>
              <w:szCs w:val="20"/>
            </w:rPr>
            <w:t>In</w:t>
          </w:r>
          <w:proofErr w:type="gramEnd"/>
          <w:r w:rsidR="007D42C8" w:rsidRPr="001F3967">
            <w:rPr>
              <w:rFonts w:ascii="Times New Roman" w:hAnsi="Times New Roman" w:cs="Times New Roman"/>
              <w:sz w:val="20"/>
              <w:szCs w:val="20"/>
            </w:rPr>
            <w:t xml:space="preserve"> Vietnam</w:t>
          </w:r>
          <w:r w:rsidRPr="001F3967">
            <w:rPr>
              <w:rFonts w:ascii="Times New Roman" w:hAnsi="Times New Roman" w:cs="Times New Roman"/>
              <w:sz w:val="20"/>
              <w:szCs w:val="20"/>
            </w:rPr>
            <w:t>. In International Journal of Entrepreneurship (Vol. 23, Issue 3).</w:t>
          </w:r>
        </w:p>
        <w:p w14:paraId="2128FDA9" w14:textId="77777777"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Hung, C. K., &amp; Hager, M. A. (2019). The Impact of Revenue Diversification on Nonprofit Financial Health: A Meta-analysis. Nonprofit and Voluntary Sector Quarterly, 48(1), 5–27. https://doi.org/10.1177/0899764018807080</w:t>
          </w:r>
        </w:p>
        <w:p w14:paraId="3C97F424" w14:textId="1C8C8A60"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 xml:space="preserve">Ishak, M. (2022). MRSM </w:t>
          </w:r>
          <w:r w:rsidR="007D42C8" w:rsidRPr="001F3967">
            <w:rPr>
              <w:rFonts w:ascii="Times New Roman" w:hAnsi="Times New Roman" w:cs="Times New Roman"/>
              <w:sz w:val="20"/>
              <w:szCs w:val="20"/>
            </w:rPr>
            <w:t xml:space="preserve">Disasar Kekal Sehingga 50 Tahun Lagi. </w:t>
          </w:r>
          <w:r w:rsidRPr="001F3967">
            <w:rPr>
              <w:rFonts w:ascii="Times New Roman" w:hAnsi="Times New Roman" w:cs="Times New Roman"/>
              <w:sz w:val="20"/>
              <w:szCs w:val="20"/>
            </w:rPr>
            <w:t>Berita Harian, 20–21.</w:t>
          </w:r>
        </w:p>
        <w:p w14:paraId="2C7DE850" w14:textId="73A31C33"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 xml:space="preserve">Iwu, C. G., Kapondoro, L., Twum-Darko, M., &amp; Tengeh, R. (2015). Determinants </w:t>
          </w:r>
          <w:r w:rsidR="007D42C8" w:rsidRPr="001F3967">
            <w:rPr>
              <w:rFonts w:ascii="Times New Roman" w:hAnsi="Times New Roman" w:cs="Times New Roman"/>
              <w:sz w:val="20"/>
              <w:szCs w:val="20"/>
            </w:rPr>
            <w:t>of Sustainability and Organisational Effectiveness in Non-Profit Organisations</w:t>
          </w:r>
          <w:r w:rsidRPr="001F3967">
            <w:rPr>
              <w:rFonts w:ascii="Times New Roman" w:hAnsi="Times New Roman" w:cs="Times New Roman"/>
              <w:sz w:val="20"/>
              <w:szCs w:val="20"/>
            </w:rPr>
            <w:t>. Sustainability (Switzerland), 7(7), 9560–9573. https://doi.org/10.3390/su7079560</w:t>
          </w:r>
        </w:p>
        <w:p w14:paraId="754619BB" w14:textId="4453A190"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 xml:space="preserve">Jung, K. (2017). Sources </w:t>
          </w:r>
          <w:r w:rsidR="007D42C8" w:rsidRPr="001F3967">
            <w:rPr>
              <w:rFonts w:ascii="Times New Roman" w:hAnsi="Times New Roman" w:cs="Times New Roman"/>
              <w:sz w:val="20"/>
              <w:szCs w:val="20"/>
            </w:rPr>
            <w:t xml:space="preserve">Of Organizational Resilience for Sustainable Communities: </w:t>
          </w:r>
          <w:r w:rsidRPr="001F3967">
            <w:rPr>
              <w:rFonts w:ascii="Times New Roman" w:hAnsi="Times New Roman" w:cs="Times New Roman"/>
              <w:sz w:val="20"/>
              <w:szCs w:val="20"/>
            </w:rPr>
            <w:t xml:space="preserve">An </w:t>
          </w:r>
          <w:r w:rsidR="007D42C8" w:rsidRPr="001F3967">
            <w:rPr>
              <w:rFonts w:ascii="Times New Roman" w:hAnsi="Times New Roman" w:cs="Times New Roman"/>
              <w:sz w:val="20"/>
              <w:szCs w:val="20"/>
            </w:rPr>
            <w:t>Institutional Collective Action Perspective</w:t>
          </w:r>
          <w:r w:rsidRPr="001F3967">
            <w:rPr>
              <w:rFonts w:ascii="Times New Roman" w:hAnsi="Times New Roman" w:cs="Times New Roman"/>
              <w:sz w:val="20"/>
              <w:szCs w:val="20"/>
            </w:rPr>
            <w:t>. Sustainability (Switzerland), 9(7). https://doi.org/10.3390/su9071141</w:t>
          </w:r>
        </w:p>
        <w:p w14:paraId="1D55FE84" w14:textId="77777777"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lastRenderedPageBreak/>
            <w:t>Keeler, L. W., Gabriele, A., Kay, B. R., &amp; Wiek, A. (2017). Future Shocks and City Resilience: Building Organizational Capacity for Resilience and Sustainability through Game Play and Ways of Thinking. Sustainability (United States), 10(5), 282–292. https://doi.org/10.1089/sus.2017.0011</w:t>
          </w:r>
        </w:p>
        <w:p w14:paraId="0711D0DE" w14:textId="1DC823F5"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 xml:space="preserve">Kim, A., &amp; Mor Barak, M. E. (2015). The </w:t>
          </w:r>
          <w:r w:rsidR="007D42C8" w:rsidRPr="001F3967">
            <w:rPr>
              <w:rFonts w:ascii="Times New Roman" w:hAnsi="Times New Roman" w:cs="Times New Roman"/>
              <w:sz w:val="20"/>
              <w:szCs w:val="20"/>
            </w:rPr>
            <w:t xml:space="preserve">Mediating Roles of Leader-Member Exchange and Perceived Organizational Support in The Role Stress-Turnover Intention Relationship Among Child Welfare Workers: </w:t>
          </w:r>
          <w:r w:rsidRPr="001F3967">
            <w:rPr>
              <w:rFonts w:ascii="Times New Roman" w:hAnsi="Times New Roman" w:cs="Times New Roman"/>
              <w:sz w:val="20"/>
              <w:szCs w:val="20"/>
            </w:rPr>
            <w:t xml:space="preserve">A </w:t>
          </w:r>
          <w:r w:rsidR="007D42C8" w:rsidRPr="001F3967">
            <w:rPr>
              <w:rFonts w:ascii="Times New Roman" w:hAnsi="Times New Roman" w:cs="Times New Roman"/>
              <w:sz w:val="20"/>
              <w:szCs w:val="20"/>
            </w:rPr>
            <w:t xml:space="preserve">Longitudinal Analysis. </w:t>
          </w:r>
          <w:r w:rsidRPr="001F3967">
            <w:rPr>
              <w:rFonts w:ascii="Times New Roman" w:hAnsi="Times New Roman" w:cs="Times New Roman"/>
              <w:sz w:val="20"/>
              <w:szCs w:val="20"/>
            </w:rPr>
            <w:t>Children and Youth Services Review, 52, 135–143. https://doi.org/10.1016/j.childyouth.2014.11.009</w:t>
          </w:r>
        </w:p>
        <w:p w14:paraId="51868FFE" w14:textId="3EC346EA"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 xml:space="preserve">Mair, J., &amp; Martí, I. (2006). Social </w:t>
          </w:r>
          <w:r w:rsidR="007D42C8" w:rsidRPr="001F3967">
            <w:rPr>
              <w:rFonts w:ascii="Times New Roman" w:hAnsi="Times New Roman" w:cs="Times New Roman"/>
              <w:sz w:val="20"/>
              <w:szCs w:val="20"/>
            </w:rPr>
            <w:t xml:space="preserve">Entrepreneurship Research: </w:t>
          </w:r>
          <w:r w:rsidRPr="001F3967">
            <w:rPr>
              <w:rFonts w:ascii="Times New Roman" w:hAnsi="Times New Roman" w:cs="Times New Roman"/>
              <w:sz w:val="20"/>
              <w:szCs w:val="20"/>
            </w:rPr>
            <w:t xml:space="preserve">A </w:t>
          </w:r>
          <w:r w:rsidR="007D42C8" w:rsidRPr="001F3967">
            <w:rPr>
              <w:rFonts w:ascii="Times New Roman" w:hAnsi="Times New Roman" w:cs="Times New Roman"/>
              <w:sz w:val="20"/>
              <w:szCs w:val="20"/>
            </w:rPr>
            <w:t>Source of Explanation, Prediction, And Delight.</w:t>
          </w:r>
          <w:r w:rsidRPr="001F3967">
            <w:rPr>
              <w:rFonts w:ascii="Times New Roman" w:hAnsi="Times New Roman" w:cs="Times New Roman"/>
              <w:sz w:val="20"/>
              <w:szCs w:val="20"/>
            </w:rPr>
            <w:t xml:space="preserve"> Journal of World Business, 41(1), 36–44. https://doi.org/10.1016/j.jwb.2005.09.002</w:t>
          </w:r>
        </w:p>
        <w:p w14:paraId="324ED7B8" w14:textId="575A5071"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 xml:space="preserve">Malay Mail. (2022). Former </w:t>
          </w:r>
          <w:r w:rsidR="007D42C8" w:rsidRPr="001F3967">
            <w:rPr>
              <w:rFonts w:ascii="Times New Roman" w:hAnsi="Times New Roman" w:cs="Times New Roman"/>
              <w:sz w:val="20"/>
              <w:szCs w:val="20"/>
            </w:rPr>
            <w:t>t</w:t>
          </w:r>
          <w:r w:rsidR="00CB5FC7" w:rsidRPr="001F3967">
            <w:rPr>
              <w:rFonts w:ascii="Times New Roman" w:hAnsi="Times New Roman" w:cs="Times New Roman"/>
              <w:sz w:val="20"/>
              <w:szCs w:val="20"/>
            </w:rPr>
            <w:t xml:space="preserve">he </w:t>
          </w:r>
          <w:r w:rsidR="007D42C8" w:rsidRPr="001F3967">
            <w:rPr>
              <w:rFonts w:ascii="Times New Roman" w:hAnsi="Times New Roman" w:cs="Times New Roman"/>
              <w:sz w:val="20"/>
              <w:szCs w:val="20"/>
            </w:rPr>
            <w:t xml:space="preserve">Subsidiaries </w:t>
          </w:r>
          <w:r w:rsidRPr="001F3967">
            <w:rPr>
              <w:rFonts w:ascii="Times New Roman" w:hAnsi="Times New Roman" w:cs="Times New Roman"/>
              <w:sz w:val="20"/>
              <w:szCs w:val="20"/>
            </w:rPr>
            <w:t>Inc</w:t>
          </w:r>
          <w:r w:rsidR="007D42C8" w:rsidRPr="001F3967">
            <w:rPr>
              <w:rFonts w:ascii="Times New Roman" w:hAnsi="Times New Roman" w:cs="Times New Roman"/>
              <w:sz w:val="20"/>
              <w:szCs w:val="20"/>
            </w:rPr>
            <w:t>.</w:t>
          </w:r>
          <w:r w:rsidRPr="001F3967">
            <w:rPr>
              <w:rFonts w:ascii="Times New Roman" w:hAnsi="Times New Roman" w:cs="Times New Roman"/>
              <w:sz w:val="20"/>
              <w:szCs w:val="20"/>
            </w:rPr>
            <w:t xml:space="preserve"> </w:t>
          </w:r>
          <w:r w:rsidR="007D42C8" w:rsidRPr="001F3967">
            <w:rPr>
              <w:rFonts w:ascii="Times New Roman" w:hAnsi="Times New Roman" w:cs="Times New Roman"/>
              <w:sz w:val="20"/>
              <w:szCs w:val="20"/>
            </w:rPr>
            <w:t xml:space="preserve">Chairman Slapped with Charges of Corruption, Money Laundering Totalling </w:t>
          </w:r>
          <w:r w:rsidRPr="001F3967">
            <w:rPr>
              <w:rFonts w:ascii="Times New Roman" w:hAnsi="Times New Roman" w:cs="Times New Roman"/>
              <w:sz w:val="20"/>
              <w:szCs w:val="20"/>
            </w:rPr>
            <w:t>RM20</w:t>
          </w:r>
          <w:r w:rsidR="007D42C8" w:rsidRPr="001F3967">
            <w:rPr>
              <w:rFonts w:ascii="Times New Roman" w:hAnsi="Times New Roman" w:cs="Times New Roman"/>
              <w:sz w:val="20"/>
              <w:szCs w:val="20"/>
            </w:rPr>
            <w:t xml:space="preserve">.45m Over </w:t>
          </w:r>
          <w:r w:rsidRPr="001F3967">
            <w:rPr>
              <w:rFonts w:ascii="Times New Roman" w:hAnsi="Times New Roman" w:cs="Times New Roman"/>
              <w:sz w:val="20"/>
              <w:szCs w:val="20"/>
            </w:rPr>
            <w:t xml:space="preserve">Melbourne </w:t>
          </w:r>
          <w:r w:rsidR="007D42C8" w:rsidRPr="001F3967">
            <w:rPr>
              <w:rFonts w:ascii="Times New Roman" w:hAnsi="Times New Roman" w:cs="Times New Roman"/>
              <w:sz w:val="20"/>
              <w:szCs w:val="20"/>
            </w:rPr>
            <w:t>Property Deals.</w:t>
          </w:r>
          <w:r w:rsidRPr="001F3967">
            <w:rPr>
              <w:rFonts w:ascii="Times New Roman" w:hAnsi="Times New Roman" w:cs="Times New Roman"/>
              <w:sz w:val="20"/>
              <w:szCs w:val="20"/>
            </w:rPr>
            <w:t xml:space="preserve"> 13–14.</w:t>
          </w:r>
        </w:p>
        <w:p w14:paraId="15B67C85" w14:textId="77777777"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Maletič, M., Maletič, D., Dahlgaard, J. J., Dahlgaard-Park, S. M., &amp; Gomišček, B. (2014). The Relationship between Sustainability– Oriented Innovation Practices and Organizational Performance: Empirical Evidence from Slovenian Organizations. Organizacija, 47(1), 3–13. https://doi.org/10.2478/orga-2014-0001</w:t>
          </w:r>
        </w:p>
        <w:p w14:paraId="14D3C985" w14:textId="1D3392AB"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 xml:space="preserve">Maletic, M., Mariboru, U. V, Dahlgaard, J., Dahlgaard-Park, S. M., &amp; Gomiscek, B. (2015). Effect </w:t>
          </w:r>
          <w:r w:rsidR="007D42C8" w:rsidRPr="001F3967">
            <w:rPr>
              <w:rFonts w:ascii="Times New Roman" w:hAnsi="Times New Roman" w:cs="Times New Roman"/>
              <w:sz w:val="20"/>
              <w:szCs w:val="20"/>
            </w:rPr>
            <w:t xml:space="preserve">of Sustainability-Oriented Innovation Practices on The Overall </w:t>
          </w:r>
          <w:r w:rsidRPr="001F3967">
            <w:rPr>
              <w:rFonts w:ascii="Times New Roman" w:hAnsi="Times New Roman" w:cs="Times New Roman"/>
              <w:sz w:val="20"/>
              <w:szCs w:val="20"/>
            </w:rPr>
            <w:t xml:space="preserve">Effect </w:t>
          </w:r>
          <w:r w:rsidR="007D42C8" w:rsidRPr="001F3967">
            <w:rPr>
              <w:rFonts w:ascii="Times New Roman" w:hAnsi="Times New Roman" w:cs="Times New Roman"/>
              <w:sz w:val="20"/>
              <w:szCs w:val="20"/>
            </w:rPr>
            <w:t>of Sustainability-Oriented Innovation Practices on The Overall Organisational Performance: An Empirical Examination Organisational Performance</w:t>
          </w:r>
          <w:r w:rsidRPr="001F3967">
            <w:rPr>
              <w:rFonts w:ascii="Times New Roman" w:hAnsi="Times New Roman" w:cs="Times New Roman"/>
              <w:sz w:val="20"/>
              <w:szCs w:val="20"/>
            </w:rPr>
            <w:t>: an empirical examination Damjan Maletic. https://ro.uow.edu.au/dubaipapers/661</w:t>
          </w:r>
        </w:p>
        <w:p w14:paraId="1BE6A692" w14:textId="25BE1663"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 xml:space="preserve">Méndez-Picazo, M. T., Galindo-Martín, M. A., &amp; Castaño-Martínez, M. S. (2021). Effects </w:t>
          </w:r>
          <w:r w:rsidR="007D42C8" w:rsidRPr="001F3967">
            <w:rPr>
              <w:rFonts w:ascii="Times New Roman" w:hAnsi="Times New Roman" w:cs="Times New Roman"/>
              <w:sz w:val="20"/>
              <w:szCs w:val="20"/>
            </w:rPr>
            <w:t xml:space="preserve">Of Sociocultural and Economic Factors on Social Entrepreneurship </w:t>
          </w:r>
          <w:proofErr w:type="gramStart"/>
          <w:r w:rsidR="007D42C8" w:rsidRPr="001F3967">
            <w:rPr>
              <w:rFonts w:ascii="Times New Roman" w:hAnsi="Times New Roman" w:cs="Times New Roman"/>
              <w:sz w:val="20"/>
              <w:szCs w:val="20"/>
            </w:rPr>
            <w:t>And</w:t>
          </w:r>
          <w:proofErr w:type="gramEnd"/>
          <w:r w:rsidR="007D42C8" w:rsidRPr="001F3967">
            <w:rPr>
              <w:rFonts w:ascii="Times New Roman" w:hAnsi="Times New Roman" w:cs="Times New Roman"/>
              <w:sz w:val="20"/>
              <w:szCs w:val="20"/>
            </w:rPr>
            <w:t xml:space="preserve"> Sustainable Development</w:t>
          </w:r>
          <w:r w:rsidRPr="001F3967">
            <w:rPr>
              <w:rFonts w:ascii="Times New Roman" w:hAnsi="Times New Roman" w:cs="Times New Roman"/>
              <w:sz w:val="20"/>
              <w:szCs w:val="20"/>
            </w:rPr>
            <w:t>. Journal of Innovation and Knowledge, 6(2), 69–77. https://doi.org/10.1016/j.jik.2020.06.001</w:t>
          </w:r>
        </w:p>
        <w:p w14:paraId="7A90EBCD" w14:textId="77777777"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Mitchell, G. E. (2014). Strategic Responses to Resource Dependence Among Transnational NGOs Registered in the United States. Voluntas, 25(1), 67–91. https://doi.org/10.1007/s11266-012-9329-2</w:t>
          </w:r>
        </w:p>
        <w:p w14:paraId="24B32397" w14:textId="77777777"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Ormiston, J., Charlton, K., Donald, M. S., &amp; Seymour, R. G. (2015). Overcoming the Challenges of Impact Investing: Insights from Leading Investors. Journal of Social Entrepreneurship, 6(3), 352–378. https://doi.org/10.1080/19420676.2015.1049285</w:t>
          </w:r>
        </w:p>
        <w:p w14:paraId="0769251C" w14:textId="6697B043"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 xml:space="preserve">Ortiz-de-Mandojana, N., &amp; Bansal, P. (2016). </w:t>
          </w:r>
          <w:r w:rsidR="007D42C8" w:rsidRPr="001F3967">
            <w:rPr>
              <w:rFonts w:ascii="Times New Roman" w:hAnsi="Times New Roman" w:cs="Times New Roman"/>
              <w:sz w:val="20"/>
              <w:szCs w:val="20"/>
            </w:rPr>
            <w:t>The Long-Term Benefits of Organizational Resilience Through Sustainable Business Practices.</w:t>
          </w:r>
          <w:r w:rsidRPr="001F3967">
            <w:rPr>
              <w:rFonts w:ascii="Times New Roman" w:hAnsi="Times New Roman" w:cs="Times New Roman"/>
              <w:sz w:val="20"/>
              <w:szCs w:val="20"/>
            </w:rPr>
            <w:t xml:space="preserve"> Strategic Management Journal, 37(8), 1615–1631. https://doi.org/10.1002/smj.2410</w:t>
          </w:r>
        </w:p>
        <w:p w14:paraId="67C1610F" w14:textId="7FE532B5"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 xml:space="preserve">Ridley-Duff, M., Foster, R. J., &amp; Seanor. (2010). Conceptualising </w:t>
          </w:r>
          <w:r w:rsidR="007D42C8" w:rsidRPr="001F3967">
            <w:rPr>
              <w:rFonts w:ascii="Times New Roman" w:hAnsi="Times New Roman" w:cs="Times New Roman"/>
              <w:sz w:val="20"/>
              <w:szCs w:val="20"/>
            </w:rPr>
            <w:t>Ethical Capital in Social Enterprises.</w:t>
          </w:r>
          <w:r w:rsidRPr="001F3967">
            <w:rPr>
              <w:rFonts w:ascii="Times New Roman" w:hAnsi="Times New Roman" w:cs="Times New Roman"/>
              <w:sz w:val="20"/>
              <w:szCs w:val="20"/>
            </w:rPr>
            <w:t xml:space="preserve"> In Social Enterprise Journal (Vol. 6, Issue 3). http://shura.shu.ac.uk/2618/</w:t>
          </w:r>
        </w:p>
        <w:p w14:paraId="00B57E01" w14:textId="77777777"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Saebi, T., Foss, N. J., &amp; Linder, S. (2019). Social Entrepreneurship Research: Past Achievements and Future Promises. Journal of Management, 45(1), 70–95. https://doi.org/10.1177/0149206318793196</w:t>
          </w:r>
        </w:p>
        <w:p w14:paraId="4DAFA203" w14:textId="77777777"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Southwick, F. S., Martini, B. L., Charney, D. S., &amp; Southwick, S. M. (2017). Leadership and Resilience (pp. 315–333). https://doi.org/10.1007/978-3-319-31036-7_18</w:t>
          </w:r>
        </w:p>
        <w:p w14:paraId="65E72907" w14:textId="77777777"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Starr, R., Delurey, M., &amp; Newfrock, J. (2008). Responding to Systemic Shocks.</w:t>
          </w:r>
        </w:p>
        <w:p w14:paraId="701DD1F9" w14:textId="77777777"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lastRenderedPageBreak/>
            <w:t>Sundaram, J. K. (2006). Pathways Through Financial Crisis Article in Global Governance A Review of Multilateralism and International Organizations ·. https://doi.org/10.2307/27800633</w:t>
          </w:r>
        </w:p>
        <w:p w14:paraId="430D34E5" w14:textId="77777777"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Tan, W. L., &amp; Yoo, S. J. (2015). Social Entrepreneurship Intentions of Nonprofit Organizations. Journal of Social Entrepreneurship, 6(1), 103–125. https://doi.org/10.1080/19420676.2014.954260</w:t>
          </w:r>
        </w:p>
        <w:p w14:paraId="6CB2FD58" w14:textId="357ED450"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 xml:space="preserve">Teo, W. L., Lee, M., &amp; Lim, W. S. (2017). The </w:t>
          </w:r>
          <w:r w:rsidR="007D42C8" w:rsidRPr="001F3967">
            <w:rPr>
              <w:rFonts w:ascii="Times New Roman" w:hAnsi="Times New Roman" w:cs="Times New Roman"/>
              <w:sz w:val="20"/>
              <w:szCs w:val="20"/>
            </w:rPr>
            <w:t xml:space="preserve">Relational Activation of Resilience Model: </w:t>
          </w:r>
          <w:r w:rsidRPr="001F3967">
            <w:rPr>
              <w:rFonts w:ascii="Times New Roman" w:hAnsi="Times New Roman" w:cs="Times New Roman"/>
              <w:sz w:val="20"/>
              <w:szCs w:val="20"/>
            </w:rPr>
            <w:t xml:space="preserve">How </w:t>
          </w:r>
          <w:r w:rsidR="007D42C8" w:rsidRPr="001F3967">
            <w:rPr>
              <w:rFonts w:ascii="Times New Roman" w:hAnsi="Times New Roman" w:cs="Times New Roman"/>
              <w:sz w:val="20"/>
              <w:szCs w:val="20"/>
            </w:rPr>
            <w:t xml:space="preserve">Leadership Activates Resilience in An Organizational Crisis. </w:t>
          </w:r>
          <w:r w:rsidRPr="001F3967">
            <w:rPr>
              <w:rFonts w:ascii="Times New Roman" w:hAnsi="Times New Roman" w:cs="Times New Roman"/>
              <w:sz w:val="20"/>
              <w:szCs w:val="20"/>
            </w:rPr>
            <w:t>Journal of Contingencies and Crisis Management, 25(3), 136–147. https://doi.org/10.1111/1468-5973.12179</w:t>
          </w:r>
        </w:p>
        <w:p w14:paraId="29AE161A" w14:textId="43CA6EE7"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 xml:space="preserve">Weerawardena, J., McDonald, R. E., &amp; Mort, G. S. (2010). Sustainability </w:t>
          </w:r>
          <w:r w:rsidR="007D42C8" w:rsidRPr="001F3967">
            <w:rPr>
              <w:rFonts w:ascii="Times New Roman" w:hAnsi="Times New Roman" w:cs="Times New Roman"/>
              <w:sz w:val="20"/>
              <w:szCs w:val="20"/>
            </w:rPr>
            <w:t xml:space="preserve">Of Nonprofit Organizations: </w:t>
          </w:r>
          <w:r w:rsidRPr="001F3967">
            <w:rPr>
              <w:rFonts w:ascii="Times New Roman" w:hAnsi="Times New Roman" w:cs="Times New Roman"/>
              <w:sz w:val="20"/>
              <w:szCs w:val="20"/>
            </w:rPr>
            <w:t xml:space="preserve">An </w:t>
          </w:r>
          <w:r w:rsidR="007D42C8" w:rsidRPr="001F3967">
            <w:rPr>
              <w:rFonts w:ascii="Times New Roman" w:hAnsi="Times New Roman" w:cs="Times New Roman"/>
              <w:sz w:val="20"/>
              <w:szCs w:val="20"/>
            </w:rPr>
            <w:t>Empirical Investigation</w:t>
          </w:r>
          <w:r w:rsidRPr="001F3967">
            <w:rPr>
              <w:rFonts w:ascii="Times New Roman" w:hAnsi="Times New Roman" w:cs="Times New Roman"/>
              <w:sz w:val="20"/>
              <w:szCs w:val="20"/>
            </w:rPr>
            <w:t>. Journal of World Business, 45(4), 346–356. https://doi.org/10.1016/j.jwb.2009.08.004</w:t>
          </w:r>
        </w:p>
        <w:p w14:paraId="1692A41C" w14:textId="77777777"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Wood, J. L., &amp; Harrison, J. D. (2014). College Choice for Black Males in the Community College: Factors Influencing Institutional Selection (Vol. 65, Issue 4).</w:t>
          </w:r>
        </w:p>
        <w:p w14:paraId="12AE96A6" w14:textId="5E0CB249"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 xml:space="preserve">Wright, N. S., &amp; Reames, T. G. (2020). Unraveling </w:t>
          </w:r>
          <w:r w:rsidR="007D42C8" w:rsidRPr="001F3967">
            <w:rPr>
              <w:rFonts w:ascii="Times New Roman" w:hAnsi="Times New Roman" w:cs="Times New Roman"/>
              <w:sz w:val="20"/>
              <w:szCs w:val="20"/>
            </w:rPr>
            <w:t xml:space="preserve">The Links Between Organizational Factors </w:t>
          </w:r>
          <w:proofErr w:type="gramStart"/>
          <w:r w:rsidR="007D42C8" w:rsidRPr="001F3967">
            <w:rPr>
              <w:rFonts w:ascii="Times New Roman" w:hAnsi="Times New Roman" w:cs="Times New Roman"/>
              <w:sz w:val="20"/>
              <w:szCs w:val="20"/>
            </w:rPr>
            <w:t>And</w:t>
          </w:r>
          <w:proofErr w:type="gramEnd"/>
          <w:r w:rsidR="007D42C8" w:rsidRPr="001F3967">
            <w:rPr>
              <w:rFonts w:ascii="Times New Roman" w:hAnsi="Times New Roman" w:cs="Times New Roman"/>
              <w:sz w:val="20"/>
              <w:szCs w:val="20"/>
            </w:rPr>
            <w:t xml:space="preserve"> Perceptions Of Community Sustainability Performance: </w:t>
          </w:r>
          <w:r w:rsidRPr="001F3967">
            <w:rPr>
              <w:rFonts w:ascii="Times New Roman" w:hAnsi="Times New Roman" w:cs="Times New Roman"/>
              <w:sz w:val="20"/>
              <w:szCs w:val="20"/>
            </w:rPr>
            <w:t xml:space="preserve">An </w:t>
          </w:r>
          <w:r w:rsidR="007D42C8" w:rsidRPr="001F3967">
            <w:rPr>
              <w:rFonts w:ascii="Times New Roman" w:hAnsi="Times New Roman" w:cs="Times New Roman"/>
              <w:sz w:val="20"/>
              <w:szCs w:val="20"/>
            </w:rPr>
            <w:t>Empirical Investigation Of Community-Based Nongovernmental Organizations</w:t>
          </w:r>
          <w:r w:rsidRPr="001F3967">
            <w:rPr>
              <w:rFonts w:ascii="Times New Roman" w:hAnsi="Times New Roman" w:cs="Times New Roman"/>
              <w:sz w:val="20"/>
              <w:szCs w:val="20"/>
            </w:rPr>
            <w:t>. Sustainability (Switzerland), 12(12). https://doi.org/10.3390/su12124986</w:t>
          </w:r>
        </w:p>
        <w:p w14:paraId="4ED614ED" w14:textId="77777777"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Xie, Z., Liu, X., Najam, H., Fu, Q., Abbas, J., Comite, U., Cismas, L. M., &amp; Miculescu, A. (2022). Achieving Financial Sustainability through Revenue Diversification: A Green Pathway for Financial Institutions in Asia. Sustainability (Switzerland), 14(6). https://doi.org/10.3390/su14063512</w:t>
          </w:r>
        </w:p>
        <w:p w14:paraId="05EDB1E6" w14:textId="3FD6D685" w:rsidR="00C52D12" w:rsidRPr="001F3967" w:rsidRDefault="00C52D12" w:rsidP="0069681E">
          <w:pPr>
            <w:autoSpaceDE w:val="0"/>
            <w:autoSpaceDN w:val="0"/>
            <w:spacing w:line="240" w:lineRule="auto"/>
            <w:ind w:hanging="482"/>
            <w:rPr>
              <w:rFonts w:ascii="Times New Roman" w:hAnsi="Times New Roman" w:cs="Times New Roman"/>
              <w:sz w:val="20"/>
              <w:szCs w:val="20"/>
            </w:rPr>
          </w:pPr>
          <w:r w:rsidRPr="001F3967">
            <w:rPr>
              <w:rFonts w:ascii="Times New Roman" w:hAnsi="Times New Roman" w:cs="Times New Roman"/>
              <w:sz w:val="20"/>
              <w:szCs w:val="20"/>
            </w:rPr>
            <w:t xml:space="preserve">Yunus, M., Moingeon, B., &amp; Lehmann-Ortega, L. (2010). Building </w:t>
          </w:r>
          <w:r w:rsidR="007D42C8" w:rsidRPr="001F3967">
            <w:rPr>
              <w:rFonts w:ascii="Times New Roman" w:hAnsi="Times New Roman" w:cs="Times New Roman"/>
              <w:sz w:val="20"/>
              <w:szCs w:val="20"/>
            </w:rPr>
            <w:t xml:space="preserve">Social Business Models: </w:t>
          </w:r>
          <w:r w:rsidRPr="001F3967">
            <w:rPr>
              <w:rFonts w:ascii="Times New Roman" w:hAnsi="Times New Roman" w:cs="Times New Roman"/>
              <w:sz w:val="20"/>
              <w:szCs w:val="20"/>
            </w:rPr>
            <w:t xml:space="preserve">Lessons </w:t>
          </w:r>
          <w:r w:rsidR="007D42C8" w:rsidRPr="001F3967">
            <w:rPr>
              <w:rFonts w:ascii="Times New Roman" w:hAnsi="Times New Roman" w:cs="Times New Roman"/>
              <w:sz w:val="20"/>
              <w:szCs w:val="20"/>
            </w:rPr>
            <w:t>from The Grameen Experience</w:t>
          </w:r>
          <w:r w:rsidRPr="001F3967">
            <w:rPr>
              <w:rFonts w:ascii="Times New Roman" w:hAnsi="Times New Roman" w:cs="Times New Roman"/>
              <w:sz w:val="20"/>
              <w:szCs w:val="20"/>
            </w:rPr>
            <w:t>. Long Range Planning, 43(2–3), 308–325. https://doi.org/10.1016/j.lrp.2009.12.005</w:t>
          </w:r>
        </w:p>
        <w:p w14:paraId="0ACE8A51" w14:textId="77777777" w:rsidR="00C52D12" w:rsidRPr="001F3967" w:rsidRDefault="00C52D12" w:rsidP="00C52D12">
          <w:pPr>
            <w:pStyle w:val="Heading1"/>
            <w:ind w:left="480"/>
            <w:rPr>
              <w:rFonts w:cs="Times New Roman"/>
              <w:b w:val="0"/>
              <w:sz w:val="20"/>
              <w:szCs w:val="20"/>
            </w:rPr>
          </w:pPr>
          <w:r w:rsidRPr="001F3967">
            <w:rPr>
              <w:rFonts w:cs="Times New Roman"/>
              <w:sz w:val="20"/>
              <w:szCs w:val="20"/>
            </w:rPr>
            <w:t> </w:t>
          </w:r>
        </w:p>
      </w:sdtContent>
    </w:sdt>
    <w:bookmarkEnd w:id="3"/>
    <w:p w14:paraId="1F2A9304" w14:textId="77777777" w:rsidR="00D25D36" w:rsidRPr="001F3967" w:rsidRDefault="00D25D36" w:rsidP="00A27EC4">
      <w:pPr>
        <w:spacing w:after="0" w:line="240" w:lineRule="auto"/>
        <w:rPr>
          <w:rFonts w:ascii="Times New Roman" w:hAnsi="Times New Roman" w:cs="Times New Roman"/>
          <w:b/>
          <w:bCs/>
          <w:sz w:val="20"/>
          <w:szCs w:val="20"/>
        </w:rPr>
      </w:pPr>
    </w:p>
    <w:sectPr w:rsidR="00D25D36" w:rsidRPr="001F3967" w:rsidSect="001F3967">
      <w:headerReference w:type="default" r:id="rId13"/>
      <w:pgSz w:w="10319" w:h="14572" w:code="13"/>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2BACD" w14:textId="77777777" w:rsidR="00083C39" w:rsidRDefault="00083C39">
      <w:pPr>
        <w:spacing w:after="0" w:line="240" w:lineRule="auto"/>
      </w:pPr>
      <w:r>
        <w:separator/>
      </w:r>
    </w:p>
  </w:endnote>
  <w:endnote w:type="continuationSeparator" w:id="0">
    <w:p w14:paraId="182916C5" w14:textId="77777777" w:rsidR="00083C39" w:rsidRDefault="00083C39">
      <w:pPr>
        <w:spacing w:after="0" w:line="240" w:lineRule="auto"/>
      </w:pPr>
      <w:r>
        <w:continuationSeparator/>
      </w:r>
    </w:p>
  </w:endnote>
  <w:endnote w:type="continuationNotice" w:id="1">
    <w:p w14:paraId="75641247" w14:textId="77777777" w:rsidR="00083C39" w:rsidRDefault="00083C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9C699" w14:textId="77777777" w:rsidR="00083C39" w:rsidRDefault="00083C39">
      <w:pPr>
        <w:spacing w:after="0" w:line="240" w:lineRule="auto"/>
      </w:pPr>
      <w:r>
        <w:separator/>
      </w:r>
    </w:p>
  </w:footnote>
  <w:footnote w:type="continuationSeparator" w:id="0">
    <w:p w14:paraId="2E6B69BD" w14:textId="77777777" w:rsidR="00083C39" w:rsidRDefault="00083C39">
      <w:pPr>
        <w:spacing w:after="0" w:line="240" w:lineRule="auto"/>
      </w:pPr>
      <w:r>
        <w:continuationSeparator/>
      </w:r>
    </w:p>
  </w:footnote>
  <w:footnote w:type="continuationNotice" w:id="1">
    <w:p w14:paraId="2BE4A842" w14:textId="77777777" w:rsidR="00083C39" w:rsidRDefault="00083C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666D1" w14:textId="7FC457DE" w:rsidR="00E8507A" w:rsidRPr="00BE67CC" w:rsidRDefault="00E8507A" w:rsidP="00BE67CC">
    <w:pPr>
      <w:pStyle w:val="Header"/>
      <w:jc w:val="right"/>
      <w:rPr>
        <w:rFonts w:ascii="Times New Roman" w:hAnsi="Times New Roman" w:cs="Times New Roman"/>
        <w:i/>
        <w:iCs/>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0688"/>
    <w:multiLevelType w:val="hybridMultilevel"/>
    <w:tmpl w:val="A15CD7C6"/>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E046080"/>
    <w:multiLevelType w:val="multilevel"/>
    <w:tmpl w:val="B7D6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01596"/>
    <w:multiLevelType w:val="hybridMultilevel"/>
    <w:tmpl w:val="CEF28FD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372397C"/>
    <w:multiLevelType w:val="hybridMultilevel"/>
    <w:tmpl w:val="380223A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17F8411F"/>
    <w:multiLevelType w:val="multilevel"/>
    <w:tmpl w:val="FF36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B071D"/>
    <w:multiLevelType w:val="hybridMultilevel"/>
    <w:tmpl w:val="CEF28FD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CCA1F0F"/>
    <w:multiLevelType w:val="multilevel"/>
    <w:tmpl w:val="BA8637C8"/>
    <w:lvl w:ilvl="0">
      <w:start w:val="1"/>
      <w:numFmt w:val="decimal"/>
      <w:lvlText w:val="%1"/>
      <w:lvlJc w:val="left"/>
      <w:pPr>
        <w:ind w:left="540" w:hanging="54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882D20"/>
    <w:multiLevelType w:val="multilevel"/>
    <w:tmpl w:val="C84E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11520"/>
    <w:multiLevelType w:val="hybridMultilevel"/>
    <w:tmpl w:val="CEF28FD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E3012DB"/>
    <w:multiLevelType w:val="multilevel"/>
    <w:tmpl w:val="701EA1FA"/>
    <w:lvl w:ilvl="0">
      <w:start w:val="1"/>
      <w:numFmt w:val="decimal"/>
      <w:lvlText w:val="%1"/>
      <w:lvlJc w:val="left"/>
      <w:pPr>
        <w:ind w:left="540" w:hanging="540"/>
      </w:pPr>
      <w:rPr>
        <w:rFonts w:hint="default"/>
      </w:rPr>
    </w:lvl>
    <w:lvl w:ilvl="1">
      <w:start w:val="1"/>
      <w:numFmt w:val="decimal"/>
      <w:lvlText w:val="2.%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D07E50"/>
    <w:multiLevelType w:val="multilevel"/>
    <w:tmpl w:val="259E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903E2"/>
    <w:multiLevelType w:val="multilevel"/>
    <w:tmpl w:val="3D36ACF2"/>
    <w:lvl w:ilvl="0">
      <w:start w:val="1"/>
      <w:numFmt w:val="decimal"/>
      <w:lvlText w:val="%1"/>
      <w:lvlJc w:val="left"/>
      <w:pPr>
        <w:ind w:left="993" w:hanging="540"/>
      </w:pPr>
      <w:rPr>
        <w:rFonts w:hint="default"/>
      </w:rPr>
    </w:lvl>
    <w:lvl w:ilvl="1">
      <w:start w:val="1"/>
      <w:numFmt w:val="decimal"/>
      <w:lvlText w:val="4.%2"/>
      <w:lvlJc w:val="left"/>
      <w:pPr>
        <w:ind w:left="993" w:hanging="540"/>
      </w:pPr>
      <w:rPr>
        <w:rFonts w:hint="default"/>
      </w:rPr>
    </w:lvl>
    <w:lvl w:ilvl="2">
      <w:start w:val="1"/>
      <w:numFmt w:val="decimal"/>
      <w:lvlText w:val="%1.%2.%3"/>
      <w:lvlJc w:val="left"/>
      <w:pPr>
        <w:ind w:left="1173"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533" w:hanging="1080"/>
      </w:pPr>
      <w:rPr>
        <w:rFonts w:hint="default"/>
      </w:rPr>
    </w:lvl>
    <w:lvl w:ilvl="5">
      <w:start w:val="1"/>
      <w:numFmt w:val="decimal"/>
      <w:lvlText w:val="%1.%2.%3.%4.%5.%6"/>
      <w:lvlJc w:val="left"/>
      <w:pPr>
        <w:ind w:left="1533" w:hanging="1080"/>
      </w:pPr>
      <w:rPr>
        <w:rFonts w:hint="default"/>
      </w:rPr>
    </w:lvl>
    <w:lvl w:ilvl="6">
      <w:start w:val="1"/>
      <w:numFmt w:val="decimal"/>
      <w:lvlText w:val="%1.%2.%3.%4.%5.%6.%7"/>
      <w:lvlJc w:val="left"/>
      <w:pPr>
        <w:ind w:left="1893" w:hanging="1440"/>
      </w:pPr>
      <w:rPr>
        <w:rFonts w:hint="default"/>
      </w:rPr>
    </w:lvl>
    <w:lvl w:ilvl="7">
      <w:start w:val="1"/>
      <w:numFmt w:val="decimal"/>
      <w:lvlText w:val="%1.%2.%3.%4.%5.%6.%7.%8"/>
      <w:lvlJc w:val="left"/>
      <w:pPr>
        <w:ind w:left="1893" w:hanging="1440"/>
      </w:pPr>
      <w:rPr>
        <w:rFonts w:hint="default"/>
      </w:rPr>
    </w:lvl>
    <w:lvl w:ilvl="8">
      <w:start w:val="1"/>
      <w:numFmt w:val="decimal"/>
      <w:lvlText w:val="%1.%2.%3.%4.%5.%6.%7.%8.%9"/>
      <w:lvlJc w:val="left"/>
      <w:pPr>
        <w:ind w:left="1893" w:hanging="1440"/>
      </w:pPr>
      <w:rPr>
        <w:rFonts w:hint="default"/>
      </w:rPr>
    </w:lvl>
  </w:abstractNum>
  <w:abstractNum w:abstractNumId="12" w15:restartNumberingAfterBreak="0">
    <w:nsid w:val="34F9619C"/>
    <w:multiLevelType w:val="multilevel"/>
    <w:tmpl w:val="AE9A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7B3A1F"/>
    <w:multiLevelType w:val="multilevel"/>
    <w:tmpl w:val="36B04590"/>
    <w:lvl w:ilvl="0">
      <w:start w:val="1"/>
      <w:numFmt w:val="decimal"/>
      <w:pStyle w:val="HeaderL1"/>
      <w:lvlText w:val="%1.0"/>
      <w:lvlJc w:val="left"/>
      <w:pPr>
        <w:ind w:left="1495"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3A4401B"/>
    <w:multiLevelType w:val="multilevel"/>
    <w:tmpl w:val="96BAF51A"/>
    <w:lvl w:ilvl="0">
      <w:start w:val="1"/>
      <w:numFmt w:val="decimal"/>
      <w:lvlText w:val="%1"/>
      <w:lvlJc w:val="left"/>
      <w:pPr>
        <w:ind w:left="540" w:hanging="54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6DF2C82"/>
    <w:multiLevelType w:val="multilevel"/>
    <w:tmpl w:val="4DC0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FB16A8"/>
    <w:multiLevelType w:val="hybridMultilevel"/>
    <w:tmpl w:val="CEF28FD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4D39373B"/>
    <w:multiLevelType w:val="hybridMultilevel"/>
    <w:tmpl w:val="0AF80F6C"/>
    <w:lvl w:ilvl="0" w:tplc="B1E40120">
      <w:start w:val="1"/>
      <w:numFmt w:val="lowerLetter"/>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F7E6DE8"/>
    <w:multiLevelType w:val="multilevel"/>
    <w:tmpl w:val="3D36ACF2"/>
    <w:lvl w:ilvl="0">
      <w:start w:val="1"/>
      <w:numFmt w:val="decimal"/>
      <w:lvlText w:val="%1"/>
      <w:lvlJc w:val="left"/>
      <w:pPr>
        <w:ind w:left="540" w:hanging="540"/>
      </w:pPr>
      <w:rPr>
        <w:rFonts w:hint="default"/>
      </w:rPr>
    </w:lvl>
    <w:lvl w:ilvl="1">
      <w:start w:val="1"/>
      <w:numFmt w:val="decimal"/>
      <w:lvlText w:val="4.%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22223ED"/>
    <w:multiLevelType w:val="hybridMultilevel"/>
    <w:tmpl w:val="FF22467E"/>
    <w:lvl w:ilvl="0" w:tplc="4409001B">
      <w:start w:val="1"/>
      <w:numFmt w:val="lowerRoman"/>
      <w:lvlText w:val="%1."/>
      <w:lvlJc w:val="righ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54243926"/>
    <w:multiLevelType w:val="hybridMultilevel"/>
    <w:tmpl w:val="D258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092F17"/>
    <w:multiLevelType w:val="multilevel"/>
    <w:tmpl w:val="3D36ACF2"/>
    <w:lvl w:ilvl="0">
      <w:start w:val="1"/>
      <w:numFmt w:val="decimal"/>
      <w:lvlText w:val="%1"/>
      <w:lvlJc w:val="left"/>
      <w:pPr>
        <w:ind w:left="993" w:hanging="540"/>
      </w:pPr>
      <w:rPr>
        <w:rFonts w:hint="default"/>
      </w:rPr>
    </w:lvl>
    <w:lvl w:ilvl="1">
      <w:start w:val="1"/>
      <w:numFmt w:val="decimal"/>
      <w:lvlText w:val="4.%2"/>
      <w:lvlJc w:val="left"/>
      <w:pPr>
        <w:ind w:left="993" w:hanging="540"/>
      </w:pPr>
      <w:rPr>
        <w:rFonts w:hint="default"/>
      </w:rPr>
    </w:lvl>
    <w:lvl w:ilvl="2">
      <w:start w:val="1"/>
      <w:numFmt w:val="decimal"/>
      <w:lvlText w:val="%1.%2.%3"/>
      <w:lvlJc w:val="left"/>
      <w:pPr>
        <w:ind w:left="1173"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533" w:hanging="1080"/>
      </w:pPr>
      <w:rPr>
        <w:rFonts w:hint="default"/>
      </w:rPr>
    </w:lvl>
    <w:lvl w:ilvl="5">
      <w:start w:val="1"/>
      <w:numFmt w:val="decimal"/>
      <w:lvlText w:val="%1.%2.%3.%4.%5.%6"/>
      <w:lvlJc w:val="left"/>
      <w:pPr>
        <w:ind w:left="1533" w:hanging="1080"/>
      </w:pPr>
      <w:rPr>
        <w:rFonts w:hint="default"/>
      </w:rPr>
    </w:lvl>
    <w:lvl w:ilvl="6">
      <w:start w:val="1"/>
      <w:numFmt w:val="decimal"/>
      <w:lvlText w:val="%1.%2.%3.%4.%5.%6.%7"/>
      <w:lvlJc w:val="left"/>
      <w:pPr>
        <w:ind w:left="1893" w:hanging="1440"/>
      </w:pPr>
      <w:rPr>
        <w:rFonts w:hint="default"/>
      </w:rPr>
    </w:lvl>
    <w:lvl w:ilvl="7">
      <w:start w:val="1"/>
      <w:numFmt w:val="decimal"/>
      <w:lvlText w:val="%1.%2.%3.%4.%5.%6.%7.%8"/>
      <w:lvlJc w:val="left"/>
      <w:pPr>
        <w:ind w:left="1893" w:hanging="1440"/>
      </w:pPr>
      <w:rPr>
        <w:rFonts w:hint="default"/>
      </w:rPr>
    </w:lvl>
    <w:lvl w:ilvl="8">
      <w:start w:val="1"/>
      <w:numFmt w:val="decimal"/>
      <w:lvlText w:val="%1.%2.%3.%4.%5.%6.%7.%8.%9"/>
      <w:lvlJc w:val="left"/>
      <w:pPr>
        <w:ind w:left="1893" w:hanging="1440"/>
      </w:pPr>
      <w:rPr>
        <w:rFonts w:hint="default"/>
      </w:rPr>
    </w:lvl>
  </w:abstractNum>
  <w:abstractNum w:abstractNumId="22" w15:restartNumberingAfterBreak="0">
    <w:nsid w:val="59D2074A"/>
    <w:multiLevelType w:val="hybridMultilevel"/>
    <w:tmpl w:val="DA7ED008"/>
    <w:lvl w:ilvl="0" w:tplc="023C202C">
      <w:start w:val="1"/>
      <w:numFmt w:val="decimal"/>
      <w:lvlText w:val="4.%1."/>
      <w:lvlJc w:val="left"/>
      <w:pPr>
        <w:ind w:left="360" w:hanging="360"/>
      </w:pPr>
      <w:rPr>
        <w:rFonts w:hint="default"/>
      </w:rPr>
    </w:lvl>
    <w:lvl w:ilvl="1" w:tplc="023C202C">
      <w:start w:val="1"/>
      <w:numFmt w:val="decimal"/>
      <w:lvlText w:val="4.%2."/>
      <w:lvlJc w:val="left"/>
      <w:pPr>
        <w:ind w:left="1080" w:hanging="360"/>
      </w:pPr>
      <w:rPr>
        <w:rFonts w:hint="default"/>
      </w:r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3" w15:restartNumberingAfterBreak="0">
    <w:nsid w:val="5E070B2C"/>
    <w:multiLevelType w:val="multilevel"/>
    <w:tmpl w:val="3D36ACF2"/>
    <w:lvl w:ilvl="0">
      <w:start w:val="1"/>
      <w:numFmt w:val="decimal"/>
      <w:lvlText w:val="%1"/>
      <w:lvlJc w:val="left"/>
      <w:pPr>
        <w:ind w:left="540" w:hanging="540"/>
      </w:pPr>
      <w:rPr>
        <w:rFonts w:hint="default"/>
      </w:rPr>
    </w:lvl>
    <w:lvl w:ilvl="1">
      <w:start w:val="1"/>
      <w:numFmt w:val="decimal"/>
      <w:lvlText w:val="4.%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8E319BD"/>
    <w:multiLevelType w:val="hybridMultilevel"/>
    <w:tmpl w:val="AA04F6B2"/>
    <w:lvl w:ilvl="0" w:tplc="C172DA42">
      <w:start w:val="1"/>
      <w:numFmt w:val="decimal"/>
      <w:lvlText w:val="5.%1."/>
      <w:lvlJc w:val="left"/>
      <w:pPr>
        <w:ind w:left="720" w:hanging="36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68E578A6"/>
    <w:multiLevelType w:val="hybridMultilevel"/>
    <w:tmpl w:val="8E980800"/>
    <w:lvl w:ilvl="0" w:tplc="AF666DFA">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7B900E4E"/>
    <w:multiLevelType w:val="multilevel"/>
    <w:tmpl w:val="97E22B3C"/>
    <w:lvl w:ilvl="0">
      <w:start w:val="5"/>
      <w:numFmt w:val="decimal"/>
      <w:lvlText w:val="%1"/>
      <w:lvlJc w:val="left"/>
      <w:pPr>
        <w:ind w:left="540" w:hanging="540"/>
      </w:pPr>
      <w:rPr>
        <w:rFonts w:hint="default"/>
      </w:rPr>
    </w:lvl>
    <w:lvl w:ilvl="1">
      <w:start w:val="2"/>
      <w:numFmt w:val="decimal"/>
      <w:lvlText w:val="4.%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D562914"/>
    <w:multiLevelType w:val="multilevel"/>
    <w:tmpl w:val="BBA8D136"/>
    <w:lvl w:ilvl="0">
      <w:start w:val="1"/>
      <w:numFmt w:val="decimal"/>
      <w:lvlText w:val="%1"/>
      <w:lvlJc w:val="left"/>
      <w:pPr>
        <w:ind w:left="540" w:hanging="54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F2D2C11"/>
    <w:multiLevelType w:val="hybridMultilevel"/>
    <w:tmpl w:val="88824D92"/>
    <w:lvl w:ilvl="0" w:tplc="C8A857D0">
      <w:start w:val="1"/>
      <w:numFmt w:val="lowerRoman"/>
      <w:lvlText w:val="%1."/>
      <w:lvlJc w:val="left"/>
      <w:pPr>
        <w:ind w:left="1004" w:hanging="360"/>
      </w:pPr>
      <w:rPr>
        <w:rFonts w:hint="default"/>
      </w:r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num w:numId="1">
    <w:abstractNumId w:val="20"/>
  </w:num>
  <w:num w:numId="2">
    <w:abstractNumId w:val="14"/>
  </w:num>
  <w:num w:numId="3">
    <w:abstractNumId w:val="13"/>
  </w:num>
  <w:num w:numId="4">
    <w:abstractNumId w:val="18"/>
  </w:num>
  <w:num w:numId="5">
    <w:abstractNumId w:val="23"/>
  </w:num>
  <w:num w:numId="6">
    <w:abstractNumId w:val="11"/>
  </w:num>
  <w:num w:numId="7">
    <w:abstractNumId w:val="21"/>
  </w:num>
  <w:num w:numId="8">
    <w:abstractNumId w:val="26"/>
  </w:num>
  <w:num w:numId="9">
    <w:abstractNumId w:val="0"/>
  </w:num>
  <w:num w:numId="10">
    <w:abstractNumId w:val="13"/>
  </w:num>
  <w:num w:numId="11">
    <w:abstractNumId w:val="9"/>
  </w:num>
  <w:num w:numId="12">
    <w:abstractNumId w:val="27"/>
  </w:num>
  <w:num w:numId="13">
    <w:abstractNumId w:val="22"/>
  </w:num>
  <w:num w:numId="14">
    <w:abstractNumId w:val="6"/>
  </w:num>
  <w:num w:numId="15">
    <w:abstractNumId w:val="13"/>
  </w:num>
  <w:num w:numId="16">
    <w:abstractNumId w:val="13"/>
  </w:num>
  <w:num w:numId="17">
    <w:abstractNumId w:val="4"/>
  </w:num>
  <w:num w:numId="18">
    <w:abstractNumId w:val="7"/>
  </w:num>
  <w:num w:numId="19">
    <w:abstractNumId w:val="15"/>
  </w:num>
  <w:num w:numId="20">
    <w:abstractNumId w:val="12"/>
  </w:num>
  <w:num w:numId="21">
    <w:abstractNumId w:val="10"/>
  </w:num>
  <w:num w:numId="22">
    <w:abstractNumId w:val="1"/>
  </w:num>
  <w:num w:numId="23">
    <w:abstractNumId w:val="13"/>
  </w:num>
  <w:num w:numId="24">
    <w:abstractNumId w:val="13"/>
  </w:num>
  <w:num w:numId="25">
    <w:abstractNumId w:val="24"/>
  </w:num>
  <w:num w:numId="26">
    <w:abstractNumId w:val="25"/>
  </w:num>
  <w:num w:numId="27">
    <w:abstractNumId w:val="17"/>
  </w:num>
  <w:num w:numId="28">
    <w:abstractNumId w:val="3"/>
  </w:num>
  <w:num w:numId="29">
    <w:abstractNumId w:val="19"/>
  </w:num>
  <w:num w:numId="30">
    <w:abstractNumId w:val="28"/>
  </w:num>
  <w:num w:numId="31">
    <w:abstractNumId w:val="8"/>
  </w:num>
  <w:num w:numId="32">
    <w:abstractNumId w:val="16"/>
  </w:num>
  <w:num w:numId="33">
    <w:abstractNumId w:val="5"/>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38B"/>
    <w:rsid w:val="000048AE"/>
    <w:rsid w:val="0000613F"/>
    <w:rsid w:val="000064FD"/>
    <w:rsid w:val="00007983"/>
    <w:rsid w:val="000110FB"/>
    <w:rsid w:val="000137F7"/>
    <w:rsid w:val="00015784"/>
    <w:rsid w:val="00017D37"/>
    <w:rsid w:val="00020E2F"/>
    <w:rsid w:val="00020E89"/>
    <w:rsid w:val="000213A2"/>
    <w:rsid w:val="000216F4"/>
    <w:rsid w:val="00024151"/>
    <w:rsid w:val="000246F8"/>
    <w:rsid w:val="0002605F"/>
    <w:rsid w:val="000302DA"/>
    <w:rsid w:val="00031C21"/>
    <w:rsid w:val="00034EA9"/>
    <w:rsid w:val="00035FE3"/>
    <w:rsid w:val="000366E4"/>
    <w:rsid w:val="00036834"/>
    <w:rsid w:val="0004224D"/>
    <w:rsid w:val="000422A4"/>
    <w:rsid w:val="0004313A"/>
    <w:rsid w:val="0004323C"/>
    <w:rsid w:val="00047FF9"/>
    <w:rsid w:val="00054F61"/>
    <w:rsid w:val="00055B47"/>
    <w:rsid w:val="00060C8D"/>
    <w:rsid w:val="000612DE"/>
    <w:rsid w:val="00062C4A"/>
    <w:rsid w:val="00070F57"/>
    <w:rsid w:val="00071CB0"/>
    <w:rsid w:val="00071EC8"/>
    <w:rsid w:val="00071FDE"/>
    <w:rsid w:val="00074118"/>
    <w:rsid w:val="00074164"/>
    <w:rsid w:val="000754B3"/>
    <w:rsid w:val="0007699D"/>
    <w:rsid w:val="000813CF"/>
    <w:rsid w:val="00082F01"/>
    <w:rsid w:val="00083B6E"/>
    <w:rsid w:val="00083C39"/>
    <w:rsid w:val="00085550"/>
    <w:rsid w:val="000867EF"/>
    <w:rsid w:val="00092EE2"/>
    <w:rsid w:val="0009435E"/>
    <w:rsid w:val="00094FAF"/>
    <w:rsid w:val="000968BA"/>
    <w:rsid w:val="000A254B"/>
    <w:rsid w:val="000A2B7B"/>
    <w:rsid w:val="000A2CB3"/>
    <w:rsid w:val="000A4CA2"/>
    <w:rsid w:val="000B0D25"/>
    <w:rsid w:val="000B114E"/>
    <w:rsid w:val="000B353C"/>
    <w:rsid w:val="000B43E9"/>
    <w:rsid w:val="000B6BA7"/>
    <w:rsid w:val="000C05C6"/>
    <w:rsid w:val="000C3E29"/>
    <w:rsid w:val="000C3E6D"/>
    <w:rsid w:val="000C422E"/>
    <w:rsid w:val="000D0677"/>
    <w:rsid w:val="000D79C9"/>
    <w:rsid w:val="000E0A4A"/>
    <w:rsid w:val="000E19D7"/>
    <w:rsid w:val="000E3E3F"/>
    <w:rsid w:val="000E57D0"/>
    <w:rsid w:val="000E5D99"/>
    <w:rsid w:val="000E7C1C"/>
    <w:rsid w:val="000E7E61"/>
    <w:rsid w:val="000F4208"/>
    <w:rsid w:val="000F51E1"/>
    <w:rsid w:val="000F6647"/>
    <w:rsid w:val="00101E1C"/>
    <w:rsid w:val="00103D92"/>
    <w:rsid w:val="00111BE1"/>
    <w:rsid w:val="00111D11"/>
    <w:rsid w:val="00112D70"/>
    <w:rsid w:val="001134A9"/>
    <w:rsid w:val="00114DD1"/>
    <w:rsid w:val="001150FD"/>
    <w:rsid w:val="00116A6A"/>
    <w:rsid w:val="00122241"/>
    <w:rsid w:val="0012275F"/>
    <w:rsid w:val="001321A7"/>
    <w:rsid w:val="00133710"/>
    <w:rsid w:val="0013444D"/>
    <w:rsid w:val="00135B42"/>
    <w:rsid w:val="00137C86"/>
    <w:rsid w:val="00143B5A"/>
    <w:rsid w:val="0014492D"/>
    <w:rsid w:val="00145E76"/>
    <w:rsid w:val="00160FFF"/>
    <w:rsid w:val="00165A31"/>
    <w:rsid w:val="00171845"/>
    <w:rsid w:val="00174E7F"/>
    <w:rsid w:val="00177CBE"/>
    <w:rsid w:val="0018335C"/>
    <w:rsid w:val="00183742"/>
    <w:rsid w:val="00184D50"/>
    <w:rsid w:val="00184DCB"/>
    <w:rsid w:val="00184FC1"/>
    <w:rsid w:val="00185EA2"/>
    <w:rsid w:val="00190C0D"/>
    <w:rsid w:val="001938BC"/>
    <w:rsid w:val="00195FCB"/>
    <w:rsid w:val="001963C0"/>
    <w:rsid w:val="001975D2"/>
    <w:rsid w:val="001A0AFF"/>
    <w:rsid w:val="001A42AB"/>
    <w:rsid w:val="001A500D"/>
    <w:rsid w:val="001C3EA4"/>
    <w:rsid w:val="001C5829"/>
    <w:rsid w:val="001D49A7"/>
    <w:rsid w:val="001D791C"/>
    <w:rsid w:val="001E1C13"/>
    <w:rsid w:val="001E51FA"/>
    <w:rsid w:val="001E55A9"/>
    <w:rsid w:val="001E6067"/>
    <w:rsid w:val="001F0934"/>
    <w:rsid w:val="001F3967"/>
    <w:rsid w:val="001F5ED9"/>
    <w:rsid w:val="001F787D"/>
    <w:rsid w:val="00202AD8"/>
    <w:rsid w:val="00206285"/>
    <w:rsid w:val="00206FAF"/>
    <w:rsid w:val="00212B38"/>
    <w:rsid w:val="002149E5"/>
    <w:rsid w:val="00217299"/>
    <w:rsid w:val="00220707"/>
    <w:rsid w:val="002213E5"/>
    <w:rsid w:val="00221962"/>
    <w:rsid w:val="00230920"/>
    <w:rsid w:val="00231974"/>
    <w:rsid w:val="002342C6"/>
    <w:rsid w:val="00240825"/>
    <w:rsid w:val="00241C0A"/>
    <w:rsid w:val="00243F4E"/>
    <w:rsid w:val="002512DD"/>
    <w:rsid w:val="00252630"/>
    <w:rsid w:val="002552CB"/>
    <w:rsid w:val="00261397"/>
    <w:rsid w:val="0026190B"/>
    <w:rsid w:val="00263011"/>
    <w:rsid w:val="002647DB"/>
    <w:rsid w:val="002669AE"/>
    <w:rsid w:val="00266B3E"/>
    <w:rsid w:val="00274156"/>
    <w:rsid w:val="002921B9"/>
    <w:rsid w:val="00294057"/>
    <w:rsid w:val="002945D0"/>
    <w:rsid w:val="0029596B"/>
    <w:rsid w:val="002A0CD5"/>
    <w:rsid w:val="002A50B1"/>
    <w:rsid w:val="002A623A"/>
    <w:rsid w:val="002B0647"/>
    <w:rsid w:val="002B0E2B"/>
    <w:rsid w:val="002C0200"/>
    <w:rsid w:val="002C04D8"/>
    <w:rsid w:val="002C16A8"/>
    <w:rsid w:val="002C1875"/>
    <w:rsid w:val="002C2C86"/>
    <w:rsid w:val="002C7359"/>
    <w:rsid w:val="002D3098"/>
    <w:rsid w:val="002D33FB"/>
    <w:rsid w:val="002D413B"/>
    <w:rsid w:val="002D4AEF"/>
    <w:rsid w:val="002E06B8"/>
    <w:rsid w:val="002F0BD9"/>
    <w:rsid w:val="002F3D53"/>
    <w:rsid w:val="002F6718"/>
    <w:rsid w:val="002F7C8A"/>
    <w:rsid w:val="00302875"/>
    <w:rsid w:val="00303911"/>
    <w:rsid w:val="00303C1C"/>
    <w:rsid w:val="00312AA7"/>
    <w:rsid w:val="003130DB"/>
    <w:rsid w:val="00314F1F"/>
    <w:rsid w:val="003173A1"/>
    <w:rsid w:val="003332EA"/>
    <w:rsid w:val="00337FCF"/>
    <w:rsid w:val="003400AE"/>
    <w:rsid w:val="00342D11"/>
    <w:rsid w:val="00342DDE"/>
    <w:rsid w:val="00351AD6"/>
    <w:rsid w:val="00351E3E"/>
    <w:rsid w:val="00352C5E"/>
    <w:rsid w:val="00354719"/>
    <w:rsid w:val="00355F7F"/>
    <w:rsid w:val="003641B9"/>
    <w:rsid w:val="00366C25"/>
    <w:rsid w:val="00366F55"/>
    <w:rsid w:val="003700F6"/>
    <w:rsid w:val="00372CA4"/>
    <w:rsid w:val="00376C9A"/>
    <w:rsid w:val="003825C5"/>
    <w:rsid w:val="00382AC4"/>
    <w:rsid w:val="00383B4E"/>
    <w:rsid w:val="00385C9E"/>
    <w:rsid w:val="00391410"/>
    <w:rsid w:val="00393BB0"/>
    <w:rsid w:val="00396451"/>
    <w:rsid w:val="003A1DA7"/>
    <w:rsid w:val="003A1E11"/>
    <w:rsid w:val="003A1F24"/>
    <w:rsid w:val="003A37BC"/>
    <w:rsid w:val="003A546B"/>
    <w:rsid w:val="003B0072"/>
    <w:rsid w:val="003B0252"/>
    <w:rsid w:val="003B0878"/>
    <w:rsid w:val="003C1EB0"/>
    <w:rsid w:val="003C4829"/>
    <w:rsid w:val="003C7559"/>
    <w:rsid w:val="003D04C0"/>
    <w:rsid w:val="003D35A3"/>
    <w:rsid w:val="003E0A8F"/>
    <w:rsid w:val="003E1B3B"/>
    <w:rsid w:val="003E1CF2"/>
    <w:rsid w:val="003E2C4A"/>
    <w:rsid w:val="003E39BC"/>
    <w:rsid w:val="003E3D46"/>
    <w:rsid w:val="003E4459"/>
    <w:rsid w:val="003E514D"/>
    <w:rsid w:val="003E56B3"/>
    <w:rsid w:val="003E6EE3"/>
    <w:rsid w:val="003F4A11"/>
    <w:rsid w:val="003F4E87"/>
    <w:rsid w:val="00401AD5"/>
    <w:rsid w:val="004033DA"/>
    <w:rsid w:val="00406F03"/>
    <w:rsid w:val="0041034D"/>
    <w:rsid w:val="00411F0E"/>
    <w:rsid w:val="004124EE"/>
    <w:rsid w:val="00422A1E"/>
    <w:rsid w:val="0042573C"/>
    <w:rsid w:val="0043193C"/>
    <w:rsid w:val="004333DE"/>
    <w:rsid w:val="00434700"/>
    <w:rsid w:val="00434E6E"/>
    <w:rsid w:val="00434F67"/>
    <w:rsid w:val="004353A3"/>
    <w:rsid w:val="00442986"/>
    <w:rsid w:val="004442D3"/>
    <w:rsid w:val="00456191"/>
    <w:rsid w:val="004569F4"/>
    <w:rsid w:val="00460B4A"/>
    <w:rsid w:val="00461697"/>
    <w:rsid w:val="00463379"/>
    <w:rsid w:val="00464288"/>
    <w:rsid w:val="00477677"/>
    <w:rsid w:val="00477F81"/>
    <w:rsid w:val="00483D28"/>
    <w:rsid w:val="004947F2"/>
    <w:rsid w:val="00494F71"/>
    <w:rsid w:val="00495822"/>
    <w:rsid w:val="00497ED8"/>
    <w:rsid w:val="004A2FDB"/>
    <w:rsid w:val="004A3C04"/>
    <w:rsid w:val="004A799F"/>
    <w:rsid w:val="004B0A85"/>
    <w:rsid w:val="004B1B52"/>
    <w:rsid w:val="004B1C6F"/>
    <w:rsid w:val="004B4F5B"/>
    <w:rsid w:val="004B5403"/>
    <w:rsid w:val="004C0F79"/>
    <w:rsid w:val="004C4015"/>
    <w:rsid w:val="004D29EE"/>
    <w:rsid w:val="004D5E94"/>
    <w:rsid w:val="004D75BC"/>
    <w:rsid w:val="004E02DC"/>
    <w:rsid w:val="004E1777"/>
    <w:rsid w:val="004E439D"/>
    <w:rsid w:val="004E4835"/>
    <w:rsid w:val="004E6034"/>
    <w:rsid w:val="004E6402"/>
    <w:rsid w:val="004F32CD"/>
    <w:rsid w:val="0050136B"/>
    <w:rsid w:val="005064CE"/>
    <w:rsid w:val="00506B05"/>
    <w:rsid w:val="00507295"/>
    <w:rsid w:val="00510DDF"/>
    <w:rsid w:val="00513C35"/>
    <w:rsid w:val="00514C05"/>
    <w:rsid w:val="00517AC8"/>
    <w:rsid w:val="005268EF"/>
    <w:rsid w:val="00526F99"/>
    <w:rsid w:val="005406D9"/>
    <w:rsid w:val="005449AA"/>
    <w:rsid w:val="00546EA9"/>
    <w:rsid w:val="0054766C"/>
    <w:rsid w:val="005550F7"/>
    <w:rsid w:val="00555B1C"/>
    <w:rsid w:val="005604A6"/>
    <w:rsid w:val="0056154A"/>
    <w:rsid w:val="00561CE0"/>
    <w:rsid w:val="005623A3"/>
    <w:rsid w:val="00565C2E"/>
    <w:rsid w:val="00567219"/>
    <w:rsid w:val="00571235"/>
    <w:rsid w:val="0057408E"/>
    <w:rsid w:val="0057427E"/>
    <w:rsid w:val="00574A0F"/>
    <w:rsid w:val="00575C5B"/>
    <w:rsid w:val="005762FD"/>
    <w:rsid w:val="00581C35"/>
    <w:rsid w:val="005901CE"/>
    <w:rsid w:val="005913C8"/>
    <w:rsid w:val="00593800"/>
    <w:rsid w:val="00595728"/>
    <w:rsid w:val="005A6316"/>
    <w:rsid w:val="005B5BC8"/>
    <w:rsid w:val="005C231F"/>
    <w:rsid w:val="005C61AF"/>
    <w:rsid w:val="005C6336"/>
    <w:rsid w:val="005D369D"/>
    <w:rsid w:val="005D3F23"/>
    <w:rsid w:val="005D667C"/>
    <w:rsid w:val="005D7260"/>
    <w:rsid w:val="005E2681"/>
    <w:rsid w:val="005F1A93"/>
    <w:rsid w:val="005F3094"/>
    <w:rsid w:val="005F4139"/>
    <w:rsid w:val="005F75C9"/>
    <w:rsid w:val="005F7A55"/>
    <w:rsid w:val="006043EF"/>
    <w:rsid w:val="0061350C"/>
    <w:rsid w:val="00614B2A"/>
    <w:rsid w:val="00614D8F"/>
    <w:rsid w:val="00616326"/>
    <w:rsid w:val="006223E9"/>
    <w:rsid w:val="0062349D"/>
    <w:rsid w:val="00633B87"/>
    <w:rsid w:val="00643E80"/>
    <w:rsid w:val="00644480"/>
    <w:rsid w:val="006447EA"/>
    <w:rsid w:val="006458E8"/>
    <w:rsid w:val="00653389"/>
    <w:rsid w:val="0065593F"/>
    <w:rsid w:val="0066163E"/>
    <w:rsid w:val="00662F1C"/>
    <w:rsid w:val="006718FD"/>
    <w:rsid w:val="00671D1B"/>
    <w:rsid w:val="00672FAD"/>
    <w:rsid w:val="006739B6"/>
    <w:rsid w:val="006863BD"/>
    <w:rsid w:val="006901B0"/>
    <w:rsid w:val="00692DF4"/>
    <w:rsid w:val="0069681E"/>
    <w:rsid w:val="006A61C7"/>
    <w:rsid w:val="006B007E"/>
    <w:rsid w:val="006B03B3"/>
    <w:rsid w:val="006B30B5"/>
    <w:rsid w:val="006B5744"/>
    <w:rsid w:val="006C1EF9"/>
    <w:rsid w:val="006C6087"/>
    <w:rsid w:val="006C7221"/>
    <w:rsid w:val="006D16C9"/>
    <w:rsid w:val="006D1D1B"/>
    <w:rsid w:val="006D5D68"/>
    <w:rsid w:val="006E77B7"/>
    <w:rsid w:val="006F1DBD"/>
    <w:rsid w:val="006F3880"/>
    <w:rsid w:val="00701CD7"/>
    <w:rsid w:val="00701EB5"/>
    <w:rsid w:val="00705DDB"/>
    <w:rsid w:val="007077C5"/>
    <w:rsid w:val="007149B8"/>
    <w:rsid w:val="00725595"/>
    <w:rsid w:val="007264C2"/>
    <w:rsid w:val="007339E1"/>
    <w:rsid w:val="0073669E"/>
    <w:rsid w:val="007368B3"/>
    <w:rsid w:val="007507BC"/>
    <w:rsid w:val="00752557"/>
    <w:rsid w:val="00753D62"/>
    <w:rsid w:val="00755344"/>
    <w:rsid w:val="007579CB"/>
    <w:rsid w:val="00760132"/>
    <w:rsid w:val="007615A5"/>
    <w:rsid w:val="00765803"/>
    <w:rsid w:val="0077098A"/>
    <w:rsid w:val="0077301F"/>
    <w:rsid w:val="00773B4D"/>
    <w:rsid w:val="007744FE"/>
    <w:rsid w:val="007759DB"/>
    <w:rsid w:val="00777FD6"/>
    <w:rsid w:val="00780DAB"/>
    <w:rsid w:val="007819E4"/>
    <w:rsid w:val="007850A6"/>
    <w:rsid w:val="00786922"/>
    <w:rsid w:val="00791A78"/>
    <w:rsid w:val="00793A65"/>
    <w:rsid w:val="007965DF"/>
    <w:rsid w:val="007A4145"/>
    <w:rsid w:val="007B03B2"/>
    <w:rsid w:val="007B2D33"/>
    <w:rsid w:val="007B50BD"/>
    <w:rsid w:val="007B6AAA"/>
    <w:rsid w:val="007B7E01"/>
    <w:rsid w:val="007C172B"/>
    <w:rsid w:val="007C1730"/>
    <w:rsid w:val="007C2552"/>
    <w:rsid w:val="007C291A"/>
    <w:rsid w:val="007C2FEC"/>
    <w:rsid w:val="007C304C"/>
    <w:rsid w:val="007C3BF6"/>
    <w:rsid w:val="007C3D7E"/>
    <w:rsid w:val="007D1B2E"/>
    <w:rsid w:val="007D24DB"/>
    <w:rsid w:val="007D42C8"/>
    <w:rsid w:val="007D4975"/>
    <w:rsid w:val="007D53BD"/>
    <w:rsid w:val="007E1F51"/>
    <w:rsid w:val="007E1F7E"/>
    <w:rsid w:val="007E20A5"/>
    <w:rsid w:val="007E6EA2"/>
    <w:rsid w:val="007E7F44"/>
    <w:rsid w:val="007E7FA2"/>
    <w:rsid w:val="007F0C72"/>
    <w:rsid w:val="007F7E95"/>
    <w:rsid w:val="00800BE3"/>
    <w:rsid w:val="00801A0F"/>
    <w:rsid w:val="008022E6"/>
    <w:rsid w:val="008074AF"/>
    <w:rsid w:val="0081169C"/>
    <w:rsid w:val="008133A9"/>
    <w:rsid w:val="00814332"/>
    <w:rsid w:val="008157D0"/>
    <w:rsid w:val="008158D4"/>
    <w:rsid w:val="008174B0"/>
    <w:rsid w:val="00821993"/>
    <w:rsid w:val="008272A5"/>
    <w:rsid w:val="0082791D"/>
    <w:rsid w:val="00830D09"/>
    <w:rsid w:val="00846E93"/>
    <w:rsid w:val="00861291"/>
    <w:rsid w:val="00861BD7"/>
    <w:rsid w:val="008648AE"/>
    <w:rsid w:val="008655AF"/>
    <w:rsid w:val="00866F82"/>
    <w:rsid w:val="0088197E"/>
    <w:rsid w:val="008855F6"/>
    <w:rsid w:val="00887B37"/>
    <w:rsid w:val="0089024F"/>
    <w:rsid w:val="00890882"/>
    <w:rsid w:val="00893F16"/>
    <w:rsid w:val="008A2451"/>
    <w:rsid w:val="008A585F"/>
    <w:rsid w:val="008A6AF4"/>
    <w:rsid w:val="008B244B"/>
    <w:rsid w:val="008B4FD6"/>
    <w:rsid w:val="008B6049"/>
    <w:rsid w:val="008B6F08"/>
    <w:rsid w:val="008B6FD2"/>
    <w:rsid w:val="008C0A0D"/>
    <w:rsid w:val="008C17A5"/>
    <w:rsid w:val="008C7D22"/>
    <w:rsid w:val="008D4036"/>
    <w:rsid w:val="008D7358"/>
    <w:rsid w:val="008D7DDC"/>
    <w:rsid w:val="008E3571"/>
    <w:rsid w:val="008E6AF0"/>
    <w:rsid w:val="008F0248"/>
    <w:rsid w:val="008F189A"/>
    <w:rsid w:val="008F4556"/>
    <w:rsid w:val="008F4B69"/>
    <w:rsid w:val="008F4EE5"/>
    <w:rsid w:val="008F5419"/>
    <w:rsid w:val="00900A3C"/>
    <w:rsid w:val="0090135A"/>
    <w:rsid w:val="009025C0"/>
    <w:rsid w:val="00906F81"/>
    <w:rsid w:val="00907C50"/>
    <w:rsid w:val="00911AC9"/>
    <w:rsid w:val="009133CC"/>
    <w:rsid w:val="00917EAD"/>
    <w:rsid w:val="009211E6"/>
    <w:rsid w:val="009276AD"/>
    <w:rsid w:val="0093046F"/>
    <w:rsid w:val="00933CB4"/>
    <w:rsid w:val="00936B19"/>
    <w:rsid w:val="0093789D"/>
    <w:rsid w:val="00941B7E"/>
    <w:rsid w:val="00943130"/>
    <w:rsid w:val="0094585D"/>
    <w:rsid w:val="00945C1D"/>
    <w:rsid w:val="0094798D"/>
    <w:rsid w:val="00951251"/>
    <w:rsid w:val="009632AB"/>
    <w:rsid w:val="00964D47"/>
    <w:rsid w:val="009664E7"/>
    <w:rsid w:val="009674DA"/>
    <w:rsid w:val="009707DE"/>
    <w:rsid w:val="009714D7"/>
    <w:rsid w:val="00974A22"/>
    <w:rsid w:val="00975979"/>
    <w:rsid w:val="0099081F"/>
    <w:rsid w:val="00991997"/>
    <w:rsid w:val="009925CF"/>
    <w:rsid w:val="00994572"/>
    <w:rsid w:val="00996982"/>
    <w:rsid w:val="009A070F"/>
    <w:rsid w:val="009A2166"/>
    <w:rsid w:val="009A7E98"/>
    <w:rsid w:val="009B02C5"/>
    <w:rsid w:val="009B3A11"/>
    <w:rsid w:val="009B43FC"/>
    <w:rsid w:val="009B76E8"/>
    <w:rsid w:val="009C281C"/>
    <w:rsid w:val="009C2F55"/>
    <w:rsid w:val="009D15F7"/>
    <w:rsid w:val="009D623D"/>
    <w:rsid w:val="009E0CF7"/>
    <w:rsid w:val="009E41C1"/>
    <w:rsid w:val="009E63EC"/>
    <w:rsid w:val="009E6C93"/>
    <w:rsid w:val="009F6450"/>
    <w:rsid w:val="009F7CA3"/>
    <w:rsid w:val="00A0044A"/>
    <w:rsid w:val="00A00F7A"/>
    <w:rsid w:val="00A01400"/>
    <w:rsid w:val="00A03E67"/>
    <w:rsid w:val="00A04D18"/>
    <w:rsid w:val="00A05D4A"/>
    <w:rsid w:val="00A07E20"/>
    <w:rsid w:val="00A07FA6"/>
    <w:rsid w:val="00A10FBB"/>
    <w:rsid w:val="00A21A12"/>
    <w:rsid w:val="00A25918"/>
    <w:rsid w:val="00A27EC4"/>
    <w:rsid w:val="00A45377"/>
    <w:rsid w:val="00A54A87"/>
    <w:rsid w:val="00A56834"/>
    <w:rsid w:val="00A56B16"/>
    <w:rsid w:val="00A67DC4"/>
    <w:rsid w:val="00A72921"/>
    <w:rsid w:val="00A737B7"/>
    <w:rsid w:val="00A76A45"/>
    <w:rsid w:val="00A8013F"/>
    <w:rsid w:val="00A821E9"/>
    <w:rsid w:val="00A83D91"/>
    <w:rsid w:val="00A90124"/>
    <w:rsid w:val="00A95D32"/>
    <w:rsid w:val="00A95F33"/>
    <w:rsid w:val="00A9699A"/>
    <w:rsid w:val="00A9746A"/>
    <w:rsid w:val="00AA08C0"/>
    <w:rsid w:val="00AA0D80"/>
    <w:rsid w:val="00AA2847"/>
    <w:rsid w:val="00AA386D"/>
    <w:rsid w:val="00AA3BD0"/>
    <w:rsid w:val="00AA41B9"/>
    <w:rsid w:val="00AA6098"/>
    <w:rsid w:val="00AA6612"/>
    <w:rsid w:val="00AA672E"/>
    <w:rsid w:val="00AB1DEE"/>
    <w:rsid w:val="00AB38E9"/>
    <w:rsid w:val="00AB766B"/>
    <w:rsid w:val="00AC1D31"/>
    <w:rsid w:val="00AC2708"/>
    <w:rsid w:val="00AC7ACE"/>
    <w:rsid w:val="00AD0199"/>
    <w:rsid w:val="00AD2401"/>
    <w:rsid w:val="00AD5B56"/>
    <w:rsid w:val="00AD6E01"/>
    <w:rsid w:val="00AE3BCD"/>
    <w:rsid w:val="00AF4C95"/>
    <w:rsid w:val="00B0138B"/>
    <w:rsid w:val="00B04553"/>
    <w:rsid w:val="00B059B4"/>
    <w:rsid w:val="00B0676C"/>
    <w:rsid w:val="00B10997"/>
    <w:rsid w:val="00B10D39"/>
    <w:rsid w:val="00B10DB3"/>
    <w:rsid w:val="00B113B7"/>
    <w:rsid w:val="00B1404B"/>
    <w:rsid w:val="00B24282"/>
    <w:rsid w:val="00B31E4C"/>
    <w:rsid w:val="00B4137E"/>
    <w:rsid w:val="00B44CD8"/>
    <w:rsid w:val="00B452D6"/>
    <w:rsid w:val="00B53601"/>
    <w:rsid w:val="00B54F52"/>
    <w:rsid w:val="00B6035F"/>
    <w:rsid w:val="00B6133E"/>
    <w:rsid w:val="00B630E8"/>
    <w:rsid w:val="00B63BF8"/>
    <w:rsid w:val="00B63FEC"/>
    <w:rsid w:val="00B66540"/>
    <w:rsid w:val="00B67533"/>
    <w:rsid w:val="00B70A2D"/>
    <w:rsid w:val="00B74B0F"/>
    <w:rsid w:val="00B7512D"/>
    <w:rsid w:val="00B77749"/>
    <w:rsid w:val="00B80F30"/>
    <w:rsid w:val="00B83000"/>
    <w:rsid w:val="00B86E52"/>
    <w:rsid w:val="00B86F04"/>
    <w:rsid w:val="00B87A00"/>
    <w:rsid w:val="00B91E8C"/>
    <w:rsid w:val="00B938E4"/>
    <w:rsid w:val="00B95507"/>
    <w:rsid w:val="00B96EC9"/>
    <w:rsid w:val="00B96F73"/>
    <w:rsid w:val="00BA1E15"/>
    <w:rsid w:val="00BA2654"/>
    <w:rsid w:val="00BA3246"/>
    <w:rsid w:val="00BA408A"/>
    <w:rsid w:val="00BB2855"/>
    <w:rsid w:val="00BB5DC9"/>
    <w:rsid w:val="00BB79D0"/>
    <w:rsid w:val="00BC6EAF"/>
    <w:rsid w:val="00BD01FA"/>
    <w:rsid w:val="00BD0360"/>
    <w:rsid w:val="00BD1F0E"/>
    <w:rsid w:val="00BD306B"/>
    <w:rsid w:val="00BD718F"/>
    <w:rsid w:val="00BD7604"/>
    <w:rsid w:val="00BE38B4"/>
    <w:rsid w:val="00BE52D2"/>
    <w:rsid w:val="00BE5BF3"/>
    <w:rsid w:val="00BE6625"/>
    <w:rsid w:val="00BE67CC"/>
    <w:rsid w:val="00C03C3D"/>
    <w:rsid w:val="00C064CD"/>
    <w:rsid w:val="00C07350"/>
    <w:rsid w:val="00C11790"/>
    <w:rsid w:val="00C141A0"/>
    <w:rsid w:val="00C14B33"/>
    <w:rsid w:val="00C15FF3"/>
    <w:rsid w:val="00C20E83"/>
    <w:rsid w:val="00C265CD"/>
    <w:rsid w:val="00C348F6"/>
    <w:rsid w:val="00C34E7B"/>
    <w:rsid w:val="00C40304"/>
    <w:rsid w:val="00C405DD"/>
    <w:rsid w:val="00C426F3"/>
    <w:rsid w:val="00C46086"/>
    <w:rsid w:val="00C50F81"/>
    <w:rsid w:val="00C51C5D"/>
    <w:rsid w:val="00C52D12"/>
    <w:rsid w:val="00C611A7"/>
    <w:rsid w:val="00C62AF9"/>
    <w:rsid w:val="00C635D2"/>
    <w:rsid w:val="00C637C9"/>
    <w:rsid w:val="00C6536A"/>
    <w:rsid w:val="00C81270"/>
    <w:rsid w:val="00C81758"/>
    <w:rsid w:val="00C81CC2"/>
    <w:rsid w:val="00C85069"/>
    <w:rsid w:val="00C86B5A"/>
    <w:rsid w:val="00C87265"/>
    <w:rsid w:val="00C90005"/>
    <w:rsid w:val="00C93638"/>
    <w:rsid w:val="00C9443C"/>
    <w:rsid w:val="00C95E12"/>
    <w:rsid w:val="00CA20B2"/>
    <w:rsid w:val="00CA63EC"/>
    <w:rsid w:val="00CA75E1"/>
    <w:rsid w:val="00CB074C"/>
    <w:rsid w:val="00CB24E2"/>
    <w:rsid w:val="00CB3FE7"/>
    <w:rsid w:val="00CB4DB6"/>
    <w:rsid w:val="00CB5179"/>
    <w:rsid w:val="00CB5FC7"/>
    <w:rsid w:val="00CB6931"/>
    <w:rsid w:val="00CB753B"/>
    <w:rsid w:val="00CC35D9"/>
    <w:rsid w:val="00CC51CB"/>
    <w:rsid w:val="00CC5987"/>
    <w:rsid w:val="00CC74AA"/>
    <w:rsid w:val="00CC7BFA"/>
    <w:rsid w:val="00CD17A4"/>
    <w:rsid w:val="00CD2F74"/>
    <w:rsid w:val="00CD36CB"/>
    <w:rsid w:val="00CE3CF4"/>
    <w:rsid w:val="00CE4655"/>
    <w:rsid w:val="00CF1E9D"/>
    <w:rsid w:val="00CF522A"/>
    <w:rsid w:val="00CF5D2D"/>
    <w:rsid w:val="00CF7B1C"/>
    <w:rsid w:val="00CF7BEE"/>
    <w:rsid w:val="00D00A46"/>
    <w:rsid w:val="00D00F0C"/>
    <w:rsid w:val="00D040CD"/>
    <w:rsid w:val="00D1283A"/>
    <w:rsid w:val="00D16E63"/>
    <w:rsid w:val="00D21FFC"/>
    <w:rsid w:val="00D226ED"/>
    <w:rsid w:val="00D23096"/>
    <w:rsid w:val="00D25D36"/>
    <w:rsid w:val="00D37703"/>
    <w:rsid w:val="00D405ED"/>
    <w:rsid w:val="00D40B58"/>
    <w:rsid w:val="00D421CF"/>
    <w:rsid w:val="00D44231"/>
    <w:rsid w:val="00D50526"/>
    <w:rsid w:val="00D50BE2"/>
    <w:rsid w:val="00D50C5E"/>
    <w:rsid w:val="00D51143"/>
    <w:rsid w:val="00D5148D"/>
    <w:rsid w:val="00D53594"/>
    <w:rsid w:val="00D540F7"/>
    <w:rsid w:val="00D551EA"/>
    <w:rsid w:val="00D5585E"/>
    <w:rsid w:val="00D62261"/>
    <w:rsid w:val="00D623E4"/>
    <w:rsid w:val="00D65BB3"/>
    <w:rsid w:val="00D70431"/>
    <w:rsid w:val="00D71B0F"/>
    <w:rsid w:val="00D747D3"/>
    <w:rsid w:val="00D75B24"/>
    <w:rsid w:val="00D76503"/>
    <w:rsid w:val="00D81822"/>
    <w:rsid w:val="00D82EE1"/>
    <w:rsid w:val="00D84482"/>
    <w:rsid w:val="00D9261C"/>
    <w:rsid w:val="00D92E1C"/>
    <w:rsid w:val="00D92E44"/>
    <w:rsid w:val="00D93992"/>
    <w:rsid w:val="00D946C5"/>
    <w:rsid w:val="00D961E0"/>
    <w:rsid w:val="00D97E0F"/>
    <w:rsid w:val="00DA04D6"/>
    <w:rsid w:val="00DA0BC5"/>
    <w:rsid w:val="00DA13D5"/>
    <w:rsid w:val="00DA1C7E"/>
    <w:rsid w:val="00DA470D"/>
    <w:rsid w:val="00DA5316"/>
    <w:rsid w:val="00DA6653"/>
    <w:rsid w:val="00DB2142"/>
    <w:rsid w:val="00DC1439"/>
    <w:rsid w:val="00DC4062"/>
    <w:rsid w:val="00DD0861"/>
    <w:rsid w:val="00DD1523"/>
    <w:rsid w:val="00DD2E30"/>
    <w:rsid w:val="00DD37F0"/>
    <w:rsid w:val="00DD6554"/>
    <w:rsid w:val="00DE00A0"/>
    <w:rsid w:val="00DE082D"/>
    <w:rsid w:val="00DE4FC0"/>
    <w:rsid w:val="00DE515D"/>
    <w:rsid w:val="00DE67E7"/>
    <w:rsid w:val="00DF0403"/>
    <w:rsid w:val="00DF0EE3"/>
    <w:rsid w:val="00DF1C9E"/>
    <w:rsid w:val="00DF2120"/>
    <w:rsid w:val="00DF2434"/>
    <w:rsid w:val="00DF3692"/>
    <w:rsid w:val="00DF3A88"/>
    <w:rsid w:val="00DF7DCC"/>
    <w:rsid w:val="00E03843"/>
    <w:rsid w:val="00E06435"/>
    <w:rsid w:val="00E1179B"/>
    <w:rsid w:val="00E20CDC"/>
    <w:rsid w:val="00E24666"/>
    <w:rsid w:val="00E31680"/>
    <w:rsid w:val="00E3298B"/>
    <w:rsid w:val="00E32B0F"/>
    <w:rsid w:val="00E35D74"/>
    <w:rsid w:val="00E450A5"/>
    <w:rsid w:val="00E468A0"/>
    <w:rsid w:val="00E46A57"/>
    <w:rsid w:val="00E5284C"/>
    <w:rsid w:val="00E5591D"/>
    <w:rsid w:val="00E57EAA"/>
    <w:rsid w:val="00E663E5"/>
    <w:rsid w:val="00E74D0E"/>
    <w:rsid w:val="00E75589"/>
    <w:rsid w:val="00E75CFB"/>
    <w:rsid w:val="00E75F1D"/>
    <w:rsid w:val="00E77BB3"/>
    <w:rsid w:val="00E8507A"/>
    <w:rsid w:val="00E86474"/>
    <w:rsid w:val="00E91076"/>
    <w:rsid w:val="00E914B3"/>
    <w:rsid w:val="00E92637"/>
    <w:rsid w:val="00E932CF"/>
    <w:rsid w:val="00E962D5"/>
    <w:rsid w:val="00E965AE"/>
    <w:rsid w:val="00E97AF3"/>
    <w:rsid w:val="00EA0AF0"/>
    <w:rsid w:val="00EA28B2"/>
    <w:rsid w:val="00EA3A86"/>
    <w:rsid w:val="00EA6449"/>
    <w:rsid w:val="00EB05EB"/>
    <w:rsid w:val="00EB1E62"/>
    <w:rsid w:val="00EB25BA"/>
    <w:rsid w:val="00EC0C60"/>
    <w:rsid w:val="00EC3E5A"/>
    <w:rsid w:val="00EC4608"/>
    <w:rsid w:val="00EC5999"/>
    <w:rsid w:val="00EC6DF5"/>
    <w:rsid w:val="00ED4FBE"/>
    <w:rsid w:val="00ED5C3B"/>
    <w:rsid w:val="00EE27FC"/>
    <w:rsid w:val="00EE2D54"/>
    <w:rsid w:val="00EF3A76"/>
    <w:rsid w:val="00EF5412"/>
    <w:rsid w:val="00EF5E81"/>
    <w:rsid w:val="00EF74F5"/>
    <w:rsid w:val="00F01D82"/>
    <w:rsid w:val="00F02382"/>
    <w:rsid w:val="00F029F5"/>
    <w:rsid w:val="00F038E5"/>
    <w:rsid w:val="00F03FCC"/>
    <w:rsid w:val="00F118E0"/>
    <w:rsid w:val="00F148A7"/>
    <w:rsid w:val="00F223F9"/>
    <w:rsid w:val="00F23CBB"/>
    <w:rsid w:val="00F27644"/>
    <w:rsid w:val="00F27E1D"/>
    <w:rsid w:val="00F35923"/>
    <w:rsid w:val="00F41B19"/>
    <w:rsid w:val="00F437C7"/>
    <w:rsid w:val="00F540C6"/>
    <w:rsid w:val="00F5560D"/>
    <w:rsid w:val="00F60E9C"/>
    <w:rsid w:val="00F6150A"/>
    <w:rsid w:val="00F640F7"/>
    <w:rsid w:val="00F67F41"/>
    <w:rsid w:val="00F72A1A"/>
    <w:rsid w:val="00F76B7D"/>
    <w:rsid w:val="00F8206D"/>
    <w:rsid w:val="00F83648"/>
    <w:rsid w:val="00F83DCD"/>
    <w:rsid w:val="00F84BA5"/>
    <w:rsid w:val="00F87013"/>
    <w:rsid w:val="00F903DB"/>
    <w:rsid w:val="00F94288"/>
    <w:rsid w:val="00F95541"/>
    <w:rsid w:val="00FA21E2"/>
    <w:rsid w:val="00FA5641"/>
    <w:rsid w:val="00FA6CE4"/>
    <w:rsid w:val="00FA7F17"/>
    <w:rsid w:val="00FB02BF"/>
    <w:rsid w:val="00FB3A7F"/>
    <w:rsid w:val="00FB4293"/>
    <w:rsid w:val="00FB48B6"/>
    <w:rsid w:val="00FB7D33"/>
    <w:rsid w:val="00FC00CB"/>
    <w:rsid w:val="00FC0DCB"/>
    <w:rsid w:val="00FC1FA8"/>
    <w:rsid w:val="00FD1F5B"/>
    <w:rsid w:val="00FD2778"/>
    <w:rsid w:val="00FD6854"/>
    <w:rsid w:val="00FD74FC"/>
    <w:rsid w:val="00FE19F5"/>
    <w:rsid w:val="00FE5885"/>
    <w:rsid w:val="00FE5FAE"/>
    <w:rsid w:val="00FE6AC9"/>
    <w:rsid w:val="00FF0F34"/>
    <w:rsid w:val="00FF2889"/>
    <w:rsid w:val="00FF3090"/>
    <w:rsid w:val="00FF57A2"/>
    <w:rsid w:val="00FF7B08"/>
    <w:rsid w:val="01E4F44D"/>
    <w:rsid w:val="07C3E74F"/>
    <w:rsid w:val="08F56E28"/>
    <w:rsid w:val="0D44D1F8"/>
    <w:rsid w:val="0E87D473"/>
    <w:rsid w:val="1027879E"/>
    <w:rsid w:val="1C12EAFF"/>
    <w:rsid w:val="1C458799"/>
    <w:rsid w:val="232486DB"/>
    <w:rsid w:val="2335BDE4"/>
    <w:rsid w:val="29CC46F6"/>
    <w:rsid w:val="29E4856D"/>
    <w:rsid w:val="2D75FFEE"/>
    <w:rsid w:val="393C1528"/>
    <w:rsid w:val="416F0FE3"/>
    <w:rsid w:val="49BAF4F3"/>
    <w:rsid w:val="518E7AE0"/>
    <w:rsid w:val="53FB5251"/>
    <w:rsid w:val="57EB0C52"/>
    <w:rsid w:val="5F1BFA2A"/>
    <w:rsid w:val="78EE2ED5"/>
    <w:rsid w:val="7E868386"/>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A6851"/>
  <w15:docId w15:val="{00363348-11AD-4342-9F26-CB0B5A45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85E"/>
  </w:style>
  <w:style w:type="paragraph" w:styleId="Heading1">
    <w:name w:val="heading 1"/>
    <w:aliases w:val="Heading 1 Proposal"/>
    <w:basedOn w:val="Normal"/>
    <w:next w:val="Normal"/>
    <w:link w:val="Heading1Char"/>
    <w:uiPriority w:val="9"/>
    <w:qFormat/>
    <w:rsid w:val="004746D5"/>
    <w:pPr>
      <w:keepNext/>
      <w:spacing w:before="240" w:after="60" w:line="240" w:lineRule="auto"/>
      <w:outlineLvl w:val="0"/>
    </w:pPr>
    <w:rPr>
      <w:rFonts w:ascii="Times New Roman" w:eastAsia="Times New Roman" w:hAnsi="Times New Roman" w:cs="Arial"/>
      <w:b/>
      <w:bCs/>
      <w:kern w:val="32"/>
      <w:szCs w:val="32"/>
      <w:lang w:val="en-MY"/>
    </w:rPr>
  </w:style>
  <w:style w:type="paragraph" w:styleId="Heading2">
    <w:name w:val="heading 2"/>
    <w:basedOn w:val="Normal"/>
    <w:next w:val="Normal"/>
    <w:link w:val="Heading2Char"/>
    <w:unhideWhenUsed/>
    <w:qFormat/>
    <w:rsid w:val="00A95F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95F33"/>
    <w:pPr>
      <w:keepNext/>
      <w:keepLines/>
      <w:spacing w:after="0" w:line="480" w:lineRule="auto"/>
      <w:outlineLvl w:val="2"/>
    </w:pPr>
    <w:rPr>
      <w:rFonts w:asciiTheme="majorBidi" w:eastAsiaTheme="majorEastAsia" w:hAnsiTheme="majorBidi" w:cstheme="majorBidi"/>
      <w:b/>
      <w:bCs/>
    </w:rPr>
  </w:style>
  <w:style w:type="paragraph" w:styleId="Heading4">
    <w:name w:val="heading 4"/>
    <w:basedOn w:val="Normal"/>
    <w:next w:val="Normal"/>
    <w:link w:val="Heading4Char"/>
    <w:unhideWhenUsed/>
    <w:qFormat/>
    <w:rsid w:val="00A95F33"/>
    <w:pPr>
      <w:keepNext/>
      <w:keepLines/>
      <w:spacing w:after="0" w:line="480" w:lineRule="auto"/>
      <w:outlineLvl w:val="3"/>
    </w:pPr>
    <w:rPr>
      <w:rFonts w:asciiTheme="majorBidi" w:eastAsiaTheme="majorEastAsia" w:hAnsiTheme="majorBidi"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A17"/>
    <w:rPr>
      <w:color w:val="0000FF" w:themeColor="hyperlink"/>
      <w:u w:val="single"/>
    </w:rPr>
  </w:style>
  <w:style w:type="paragraph" w:styleId="ListParagraph">
    <w:name w:val="List Paragraph"/>
    <w:basedOn w:val="Normal"/>
    <w:link w:val="ListParagraphChar"/>
    <w:uiPriority w:val="34"/>
    <w:qFormat/>
    <w:rsid w:val="008E6A17"/>
    <w:pPr>
      <w:ind w:left="720"/>
      <w:contextualSpacing/>
    </w:pPr>
  </w:style>
  <w:style w:type="paragraph" w:customStyle="1" w:styleId="Default">
    <w:name w:val="Default"/>
    <w:rsid w:val="00866AAB"/>
    <w:pPr>
      <w:autoSpaceDE w:val="0"/>
      <w:autoSpaceDN w:val="0"/>
      <w:adjustRightInd w:val="0"/>
      <w:spacing w:after="0" w:line="240" w:lineRule="auto"/>
    </w:pPr>
    <w:rPr>
      <w:rFonts w:ascii="Times New Roman" w:hAnsi="Times New Roman" w:cs="Times New Roman"/>
      <w:color w:val="000000"/>
    </w:rPr>
  </w:style>
  <w:style w:type="table" w:styleId="TableGrid">
    <w:name w:val="Table Grid"/>
    <w:basedOn w:val="TableNormal"/>
    <w:uiPriority w:val="59"/>
    <w:rsid w:val="008F68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sid w:val="00E16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763"/>
    <w:rPr>
      <w:rFonts w:ascii="Tahoma" w:hAnsi="Tahoma" w:cs="Tahoma"/>
      <w:sz w:val="16"/>
      <w:szCs w:val="16"/>
    </w:rPr>
  </w:style>
  <w:style w:type="paragraph" w:styleId="Caption">
    <w:name w:val="caption"/>
    <w:basedOn w:val="Normal"/>
    <w:next w:val="Normal"/>
    <w:unhideWhenUsed/>
    <w:qFormat/>
    <w:rsid w:val="008D4D43"/>
    <w:pPr>
      <w:spacing w:line="240" w:lineRule="auto"/>
    </w:pPr>
    <w:rPr>
      <w:b/>
      <w:bCs/>
      <w:color w:val="4F81BD" w:themeColor="accent1"/>
      <w:sz w:val="18"/>
      <w:szCs w:val="18"/>
    </w:rPr>
  </w:style>
  <w:style w:type="table" w:customStyle="1" w:styleId="LightList1">
    <w:name w:val="Light List1"/>
    <w:basedOn w:val="TableNormal"/>
    <w:uiPriority w:val="61"/>
    <w:rsid w:val="00835C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pple-converted-space">
    <w:name w:val="apple-converted-space"/>
    <w:basedOn w:val="DefaultParagraphFont"/>
    <w:rsid w:val="00367A61"/>
  </w:style>
  <w:style w:type="character" w:customStyle="1" w:styleId="Heading1Char">
    <w:name w:val="Heading 1 Char"/>
    <w:aliases w:val="Heading 1 Proposal Char"/>
    <w:basedOn w:val="DefaultParagraphFont"/>
    <w:link w:val="Heading1"/>
    <w:uiPriority w:val="9"/>
    <w:rsid w:val="004746D5"/>
    <w:rPr>
      <w:rFonts w:ascii="Times New Roman" w:eastAsia="Times New Roman" w:hAnsi="Times New Roman" w:cs="Arial"/>
      <w:b/>
      <w:bCs/>
      <w:kern w:val="32"/>
      <w:sz w:val="24"/>
      <w:szCs w:val="32"/>
      <w:lang w:val="en-MY"/>
    </w:rPr>
  </w:style>
  <w:style w:type="paragraph" w:styleId="FootnoteText">
    <w:name w:val="footnote text"/>
    <w:basedOn w:val="Normal"/>
    <w:link w:val="FootnoteTextChar"/>
    <w:semiHidden/>
    <w:unhideWhenUsed/>
    <w:rsid w:val="008A5AE0"/>
    <w:pPr>
      <w:spacing w:after="0" w:line="240" w:lineRule="auto"/>
    </w:pPr>
    <w:rPr>
      <w:sz w:val="20"/>
      <w:szCs w:val="20"/>
    </w:rPr>
  </w:style>
  <w:style w:type="character" w:customStyle="1" w:styleId="FootnoteTextChar">
    <w:name w:val="Footnote Text Char"/>
    <w:basedOn w:val="DefaultParagraphFont"/>
    <w:link w:val="FootnoteText"/>
    <w:semiHidden/>
    <w:rsid w:val="008A5AE0"/>
    <w:rPr>
      <w:sz w:val="20"/>
      <w:szCs w:val="20"/>
    </w:rPr>
  </w:style>
  <w:style w:type="character" w:styleId="FootnoteReference">
    <w:name w:val="footnote reference"/>
    <w:basedOn w:val="DefaultParagraphFont"/>
    <w:semiHidden/>
    <w:unhideWhenUsed/>
    <w:rsid w:val="008A5AE0"/>
    <w:rPr>
      <w:vertAlign w:val="superscript"/>
    </w:rPr>
  </w:style>
  <w:style w:type="paragraph" w:styleId="Header">
    <w:name w:val="header"/>
    <w:basedOn w:val="Normal"/>
    <w:link w:val="HeaderChar"/>
    <w:unhideWhenUsed/>
    <w:rsid w:val="00D22DB2"/>
    <w:pPr>
      <w:tabs>
        <w:tab w:val="center" w:pos="4680"/>
        <w:tab w:val="right" w:pos="9360"/>
      </w:tabs>
      <w:spacing w:after="0" w:line="240" w:lineRule="auto"/>
    </w:pPr>
  </w:style>
  <w:style w:type="character" w:customStyle="1" w:styleId="HeaderChar">
    <w:name w:val="Header Char"/>
    <w:basedOn w:val="DefaultParagraphFont"/>
    <w:link w:val="Header"/>
    <w:rsid w:val="00D22DB2"/>
  </w:style>
  <w:style w:type="paragraph" w:styleId="Footer">
    <w:name w:val="footer"/>
    <w:basedOn w:val="Normal"/>
    <w:link w:val="FooterChar"/>
    <w:uiPriority w:val="99"/>
    <w:unhideWhenUsed/>
    <w:rsid w:val="00D22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DB2"/>
  </w:style>
  <w:style w:type="character" w:styleId="HTMLCite">
    <w:name w:val="HTML Cite"/>
    <w:basedOn w:val="DefaultParagraphFont"/>
    <w:uiPriority w:val="99"/>
    <w:semiHidden/>
    <w:unhideWhenUsed/>
    <w:rsid w:val="00016547"/>
    <w:rPr>
      <w:i/>
      <w:i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sz w:val="20"/>
      <w:szCs w:val="20"/>
    </w:rPr>
  </w:style>
  <w:style w:type="character" w:styleId="FollowedHyperlink">
    <w:name w:val="FollowedHyperlink"/>
    <w:basedOn w:val="DefaultParagraphFont"/>
    <w:uiPriority w:val="99"/>
    <w:semiHidden/>
    <w:unhideWhenUsed/>
    <w:rsid w:val="00565C2E"/>
    <w:rPr>
      <w:color w:val="800080" w:themeColor="followedHyperlink"/>
      <w:u w:val="single"/>
    </w:rPr>
  </w:style>
  <w:style w:type="character" w:customStyle="1" w:styleId="Heading2Char">
    <w:name w:val="Heading 2 Char"/>
    <w:basedOn w:val="DefaultParagraphFont"/>
    <w:link w:val="Heading2"/>
    <w:rsid w:val="00A95F3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95F33"/>
    <w:rPr>
      <w:rFonts w:asciiTheme="majorBidi" w:eastAsiaTheme="majorEastAsia" w:hAnsiTheme="majorBidi" w:cstheme="majorBidi"/>
      <w:b/>
      <w:bCs/>
      <w:sz w:val="24"/>
      <w:szCs w:val="24"/>
    </w:rPr>
  </w:style>
  <w:style w:type="character" w:customStyle="1" w:styleId="Heading4Char">
    <w:name w:val="Heading 4 Char"/>
    <w:basedOn w:val="DefaultParagraphFont"/>
    <w:link w:val="Heading4"/>
    <w:rsid w:val="00A95F33"/>
    <w:rPr>
      <w:rFonts w:asciiTheme="majorBidi" w:eastAsiaTheme="majorEastAsia" w:hAnsiTheme="majorBidi" w:cstheme="majorBidi"/>
      <w:bCs/>
      <w:iCs/>
      <w:sz w:val="24"/>
      <w:szCs w:val="24"/>
    </w:rPr>
  </w:style>
  <w:style w:type="paragraph" w:customStyle="1" w:styleId="Abstract">
    <w:name w:val="Abstract"/>
    <w:basedOn w:val="Normal"/>
    <w:qFormat/>
    <w:rsid w:val="00393BB0"/>
    <w:pPr>
      <w:spacing w:after="0" w:line="240" w:lineRule="auto"/>
      <w:jc w:val="center"/>
    </w:pPr>
    <w:rPr>
      <w:rFonts w:ascii="Times New Roman" w:eastAsia="Times New Roman" w:hAnsi="Times New Roman" w:cs="Times New Roman"/>
      <w:b/>
      <w:szCs w:val="28"/>
      <w:lang w:val="en-MY"/>
    </w:rPr>
  </w:style>
  <w:style w:type="table" w:customStyle="1" w:styleId="TableGrid1">
    <w:name w:val="Table Grid1"/>
    <w:basedOn w:val="TableNormal"/>
    <w:next w:val="TableGrid"/>
    <w:rsid w:val="00A95F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95F33"/>
  </w:style>
  <w:style w:type="paragraph" w:styleId="Title">
    <w:name w:val="Title"/>
    <w:basedOn w:val="Normal"/>
    <w:next w:val="Normal"/>
    <w:link w:val="TitleChar"/>
    <w:qFormat/>
    <w:rsid w:val="00A95F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95F33"/>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A95F33"/>
    <w:pPr>
      <w:spacing w:before="100" w:beforeAutospacing="1" w:after="100" w:afterAutospacing="1" w:line="240" w:lineRule="auto"/>
    </w:pPr>
    <w:rPr>
      <w:rFonts w:ascii="Times New Roman" w:hAnsi="Times New Roman" w:cs="Times New Roman"/>
      <w:lang w:val="en-MY" w:eastAsia="en-MY"/>
    </w:rPr>
  </w:style>
  <w:style w:type="character" w:styleId="Strong">
    <w:name w:val="Strong"/>
    <w:basedOn w:val="DefaultParagraphFont"/>
    <w:uiPriority w:val="22"/>
    <w:qFormat/>
    <w:rsid w:val="00A95F33"/>
    <w:rPr>
      <w:b/>
      <w:bCs/>
    </w:rPr>
  </w:style>
  <w:style w:type="paragraph" w:styleId="Subtitle">
    <w:name w:val="Subtitle"/>
    <w:basedOn w:val="Normal"/>
    <w:next w:val="Normal"/>
    <w:link w:val="SubtitleChar"/>
    <w:qFormat/>
    <w:rsid w:val="00A95F33"/>
    <w:pPr>
      <w:numPr>
        <w:ilvl w:val="1"/>
      </w:numPr>
      <w:spacing w:after="0" w:line="240"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A95F33"/>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rsid w:val="00A95F33"/>
    <w:pPr>
      <w:spacing w:after="0" w:line="240" w:lineRule="auto"/>
    </w:pPr>
    <w:rPr>
      <w:rFonts w:asciiTheme="majorBidi" w:eastAsia="Times New Roman" w:hAnsiTheme="majorBidi" w:cs="Times New Roman"/>
    </w:rPr>
  </w:style>
  <w:style w:type="character" w:styleId="BookTitle">
    <w:name w:val="Book Title"/>
    <w:basedOn w:val="DefaultParagraphFont"/>
    <w:uiPriority w:val="33"/>
    <w:qFormat/>
    <w:rsid w:val="00A95F33"/>
    <w:rPr>
      <w:b/>
      <w:bCs/>
      <w:smallCaps/>
      <w:spacing w:val="5"/>
    </w:rPr>
  </w:style>
  <w:style w:type="paragraph" w:styleId="TOCHeading">
    <w:name w:val="TOC Heading"/>
    <w:basedOn w:val="Heading1"/>
    <w:next w:val="Normal"/>
    <w:uiPriority w:val="39"/>
    <w:unhideWhenUsed/>
    <w:qFormat/>
    <w:rsid w:val="00A95F3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rsid w:val="00A95F33"/>
    <w:pPr>
      <w:tabs>
        <w:tab w:val="right" w:leader="dot" w:pos="8324"/>
      </w:tabs>
      <w:spacing w:before="240" w:after="0" w:line="240" w:lineRule="auto"/>
      <w:ind w:left="851" w:hanging="851"/>
    </w:pPr>
    <w:rPr>
      <w:rFonts w:asciiTheme="majorBidi" w:eastAsia="Times New Roman" w:hAnsiTheme="majorBidi" w:cs="Times New Roman"/>
      <w:b/>
      <w:bCs/>
      <w:noProof/>
    </w:rPr>
  </w:style>
  <w:style w:type="paragraph" w:styleId="TOC2">
    <w:name w:val="toc 2"/>
    <w:basedOn w:val="Normal"/>
    <w:next w:val="Normal"/>
    <w:autoRedefine/>
    <w:uiPriority w:val="39"/>
    <w:rsid w:val="00A95F33"/>
    <w:pPr>
      <w:tabs>
        <w:tab w:val="left" w:pos="851"/>
        <w:tab w:val="right" w:leader="dot" w:pos="8324"/>
      </w:tabs>
      <w:spacing w:after="100"/>
      <w:ind w:left="851" w:hanging="611"/>
    </w:pPr>
    <w:rPr>
      <w:rFonts w:asciiTheme="majorBidi" w:eastAsia="Times New Roman" w:hAnsiTheme="majorBidi" w:cs="Times New Roman"/>
    </w:rPr>
  </w:style>
  <w:style w:type="paragraph" w:styleId="TOC3">
    <w:name w:val="toc 3"/>
    <w:basedOn w:val="Normal"/>
    <w:next w:val="Normal"/>
    <w:autoRedefine/>
    <w:uiPriority w:val="39"/>
    <w:rsid w:val="00A95F33"/>
    <w:pPr>
      <w:spacing w:after="100" w:line="240" w:lineRule="auto"/>
      <w:ind w:left="480"/>
    </w:pPr>
    <w:rPr>
      <w:rFonts w:asciiTheme="majorBidi" w:eastAsia="Times New Roman" w:hAnsiTheme="majorBidi" w:cs="Times New Roman"/>
    </w:rPr>
  </w:style>
  <w:style w:type="paragraph" w:styleId="HTMLPreformatted">
    <w:name w:val="HTML Preformatted"/>
    <w:basedOn w:val="Normal"/>
    <w:link w:val="HTMLPreformattedChar"/>
    <w:uiPriority w:val="99"/>
    <w:unhideWhenUsed/>
    <w:rsid w:val="00A95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ms-MY" w:eastAsia="ms-MY"/>
    </w:rPr>
  </w:style>
  <w:style w:type="character" w:customStyle="1" w:styleId="HTMLPreformattedChar">
    <w:name w:val="HTML Preformatted Char"/>
    <w:basedOn w:val="DefaultParagraphFont"/>
    <w:link w:val="HTMLPreformatted"/>
    <w:uiPriority w:val="99"/>
    <w:rsid w:val="00A95F33"/>
    <w:rPr>
      <w:rFonts w:ascii="Courier New" w:eastAsia="Times New Roman" w:hAnsi="Courier New" w:cs="Courier New"/>
      <w:sz w:val="20"/>
      <w:szCs w:val="20"/>
      <w:lang w:val="ms-MY" w:eastAsia="ms-MY"/>
    </w:rPr>
  </w:style>
  <w:style w:type="paragraph" w:styleId="CommentSubject">
    <w:name w:val="annotation subject"/>
    <w:basedOn w:val="CommentText"/>
    <w:next w:val="CommentText"/>
    <w:link w:val="CommentSubjectChar"/>
    <w:semiHidden/>
    <w:unhideWhenUsed/>
    <w:rsid w:val="00A95F33"/>
    <w:pPr>
      <w:spacing w:after="0"/>
    </w:pPr>
    <w:rPr>
      <w:rFonts w:asciiTheme="majorBidi" w:eastAsia="Times New Roman" w:hAnsiTheme="majorBidi" w:cs="Times New Roman"/>
      <w:b/>
      <w:bCs/>
    </w:rPr>
  </w:style>
  <w:style w:type="character" w:customStyle="1" w:styleId="CommentSubjectChar">
    <w:name w:val="Comment Subject Char"/>
    <w:basedOn w:val="CommentTextChar"/>
    <w:link w:val="CommentSubject"/>
    <w:semiHidden/>
    <w:rsid w:val="00A95F33"/>
    <w:rPr>
      <w:rFonts w:asciiTheme="majorBidi" w:eastAsia="Times New Roman" w:hAnsiTheme="majorBidi" w:cs="Times New Roman"/>
      <w:b/>
      <w:bCs/>
      <w:sz w:val="20"/>
      <w:szCs w:val="20"/>
    </w:rPr>
  </w:style>
  <w:style w:type="character" w:customStyle="1" w:styleId="UnresolvedMention1">
    <w:name w:val="Unresolved Mention1"/>
    <w:basedOn w:val="DefaultParagraphFont"/>
    <w:uiPriority w:val="99"/>
    <w:semiHidden/>
    <w:unhideWhenUsed/>
    <w:rsid w:val="008C7D22"/>
    <w:rPr>
      <w:color w:val="605E5C"/>
      <w:shd w:val="clear" w:color="auto" w:fill="E1DFDD"/>
    </w:rPr>
  </w:style>
  <w:style w:type="character" w:styleId="UnresolvedMention">
    <w:name w:val="Unresolved Mention"/>
    <w:basedOn w:val="DefaultParagraphFont"/>
    <w:uiPriority w:val="99"/>
    <w:semiHidden/>
    <w:unhideWhenUsed/>
    <w:rsid w:val="005F4139"/>
    <w:rPr>
      <w:color w:val="605E5C"/>
      <w:shd w:val="clear" w:color="auto" w:fill="E1DFDD"/>
    </w:rPr>
  </w:style>
  <w:style w:type="character" w:customStyle="1" w:styleId="referenceperson-group">
    <w:name w:val="reference__person-group"/>
    <w:basedOn w:val="DefaultParagraphFont"/>
    <w:rsid w:val="00571235"/>
  </w:style>
  <w:style w:type="character" w:customStyle="1" w:styleId="referencestring-name">
    <w:name w:val="reference__string-name"/>
    <w:basedOn w:val="DefaultParagraphFont"/>
    <w:rsid w:val="00571235"/>
  </w:style>
  <w:style w:type="character" w:customStyle="1" w:styleId="referencesurname">
    <w:name w:val="reference__surname"/>
    <w:basedOn w:val="DefaultParagraphFont"/>
    <w:rsid w:val="00571235"/>
  </w:style>
  <w:style w:type="character" w:customStyle="1" w:styleId="referencegiven-names">
    <w:name w:val="reference__given-names"/>
    <w:basedOn w:val="DefaultParagraphFont"/>
    <w:rsid w:val="00571235"/>
  </w:style>
  <w:style w:type="character" w:customStyle="1" w:styleId="referenceyear">
    <w:name w:val="reference__year"/>
    <w:basedOn w:val="DefaultParagraphFont"/>
    <w:rsid w:val="00571235"/>
  </w:style>
  <w:style w:type="character" w:customStyle="1" w:styleId="referencearticle-title">
    <w:name w:val="reference__article-title"/>
    <w:basedOn w:val="DefaultParagraphFont"/>
    <w:rsid w:val="00571235"/>
  </w:style>
  <w:style w:type="character" w:customStyle="1" w:styleId="referencesource">
    <w:name w:val="reference__source"/>
    <w:basedOn w:val="DefaultParagraphFont"/>
    <w:rsid w:val="00571235"/>
  </w:style>
  <w:style w:type="character" w:customStyle="1" w:styleId="referencevolume">
    <w:name w:val="reference__volume"/>
    <w:basedOn w:val="DefaultParagraphFont"/>
    <w:rsid w:val="00571235"/>
  </w:style>
  <w:style w:type="character" w:customStyle="1" w:styleId="referencefpage">
    <w:name w:val="reference__fpage"/>
    <w:basedOn w:val="DefaultParagraphFont"/>
    <w:rsid w:val="00571235"/>
  </w:style>
  <w:style w:type="character" w:customStyle="1" w:styleId="referencelpage">
    <w:name w:val="reference__lpage"/>
    <w:basedOn w:val="DefaultParagraphFont"/>
    <w:rsid w:val="00571235"/>
  </w:style>
  <w:style w:type="character" w:styleId="Emphasis">
    <w:name w:val="Emphasis"/>
    <w:basedOn w:val="DefaultParagraphFont"/>
    <w:uiPriority w:val="20"/>
    <w:qFormat/>
    <w:rsid w:val="002A623A"/>
    <w:rPr>
      <w:i/>
      <w:iCs/>
    </w:rPr>
  </w:style>
  <w:style w:type="paragraph" w:styleId="Revision">
    <w:name w:val="Revision"/>
    <w:hidden/>
    <w:uiPriority w:val="99"/>
    <w:semiHidden/>
    <w:rsid w:val="00D76503"/>
    <w:pPr>
      <w:spacing w:after="0" w:line="240" w:lineRule="auto"/>
    </w:pPr>
  </w:style>
  <w:style w:type="paragraph" w:customStyle="1" w:styleId="HeaderL1">
    <w:name w:val="Header L1"/>
    <w:basedOn w:val="ListParagraph"/>
    <w:link w:val="HeaderL1Char"/>
    <w:qFormat/>
    <w:rsid w:val="00393BB0"/>
    <w:pPr>
      <w:keepNext/>
      <w:keepLines/>
      <w:numPr>
        <w:numId w:val="3"/>
      </w:numPr>
      <w:tabs>
        <w:tab w:val="left" w:pos="4050"/>
      </w:tabs>
      <w:spacing w:after="0" w:line="240" w:lineRule="auto"/>
      <w:jc w:val="both"/>
      <w:outlineLvl w:val="0"/>
    </w:pPr>
    <w:rPr>
      <w:rFonts w:asciiTheme="majorBidi" w:eastAsiaTheme="majorEastAsia" w:hAnsiTheme="majorBidi" w:cstheme="majorBidi"/>
      <w:b/>
      <w:bCs/>
    </w:rPr>
  </w:style>
  <w:style w:type="character" w:customStyle="1" w:styleId="ListParagraphChar">
    <w:name w:val="List Paragraph Char"/>
    <w:basedOn w:val="DefaultParagraphFont"/>
    <w:link w:val="ListParagraph"/>
    <w:uiPriority w:val="34"/>
    <w:rsid w:val="00393BB0"/>
  </w:style>
  <w:style w:type="character" w:customStyle="1" w:styleId="HeaderL1Char">
    <w:name w:val="Header L1 Char"/>
    <w:basedOn w:val="ListParagraphChar"/>
    <w:link w:val="HeaderL1"/>
    <w:rsid w:val="00393BB0"/>
    <w:rPr>
      <w:rFonts w:asciiTheme="majorBidi" w:eastAsiaTheme="majorEastAsia" w:hAnsiTheme="majorBidi" w:cstheme="majorBidi"/>
      <w:b/>
      <w:bCs/>
      <w:sz w:val="24"/>
      <w:szCs w:val="24"/>
    </w:rPr>
  </w:style>
  <w:style w:type="character" w:customStyle="1" w:styleId="overflow-hidden">
    <w:name w:val="overflow-hidden"/>
    <w:basedOn w:val="DefaultParagraphFont"/>
    <w:rsid w:val="00111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4666">
      <w:bodyDiv w:val="1"/>
      <w:marLeft w:val="0"/>
      <w:marRight w:val="0"/>
      <w:marTop w:val="0"/>
      <w:marBottom w:val="0"/>
      <w:divBdr>
        <w:top w:val="none" w:sz="0" w:space="0" w:color="auto"/>
        <w:left w:val="none" w:sz="0" w:space="0" w:color="auto"/>
        <w:bottom w:val="none" w:sz="0" w:space="0" w:color="auto"/>
        <w:right w:val="none" w:sz="0" w:space="0" w:color="auto"/>
      </w:divBdr>
    </w:div>
    <w:div w:id="61369311">
      <w:bodyDiv w:val="1"/>
      <w:marLeft w:val="0"/>
      <w:marRight w:val="0"/>
      <w:marTop w:val="0"/>
      <w:marBottom w:val="0"/>
      <w:divBdr>
        <w:top w:val="none" w:sz="0" w:space="0" w:color="auto"/>
        <w:left w:val="none" w:sz="0" w:space="0" w:color="auto"/>
        <w:bottom w:val="none" w:sz="0" w:space="0" w:color="auto"/>
        <w:right w:val="none" w:sz="0" w:space="0" w:color="auto"/>
      </w:divBdr>
    </w:div>
    <w:div w:id="83454849">
      <w:bodyDiv w:val="1"/>
      <w:marLeft w:val="0"/>
      <w:marRight w:val="0"/>
      <w:marTop w:val="0"/>
      <w:marBottom w:val="0"/>
      <w:divBdr>
        <w:top w:val="none" w:sz="0" w:space="0" w:color="auto"/>
        <w:left w:val="none" w:sz="0" w:space="0" w:color="auto"/>
        <w:bottom w:val="none" w:sz="0" w:space="0" w:color="auto"/>
        <w:right w:val="none" w:sz="0" w:space="0" w:color="auto"/>
      </w:divBdr>
    </w:div>
    <w:div w:id="137846043">
      <w:bodyDiv w:val="1"/>
      <w:marLeft w:val="0"/>
      <w:marRight w:val="0"/>
      <w:marTop w:val="0"/>
      <w:marBottom w:val="0"/>
      <w:divBdr>
        <w:top w:val="none" w:sz="0" w:space="0" w:color="auto"/>
        <w:left w:val="none" w:sz="0" w:space="0" w:color="auto"/>
        <w:bottom w:val="none" w:sz="0" w:space="0" w:color="auto"/>
        <w:right w:val="none" w:sz="0" w:space="0" w:color="auto"/>
      </w:divBdr>
    </w:div>
    <w:div w:id="154151823">
      <w:bodyDiv w:val="1"/>
      <w:marLeft w:val="0"/>
      <w:marRight w:val="0"/>
      <w:marTop w:val="0"/>
      <w:marBottom w:val="0"/>
      <w:divBdr>
        <w:top w:val="none" w:sz="0" w:space="0" w:color="auto"/>
        <w:left w:val="none" w:sz="0" w:space="0" w:color="auto"/>
        <w:bottom w:val="none" w:sz="0" w:space="0" w:color="auto"/>
        <w:right w:val="none" w:sz="0" w:space="0" w:color="auto"/>
      </w:divBdr>
    </w:div>
    <w:div w:id="178592638">
      <w:bodyDiv w:val="1"/>
      <w:marLeft w:val="0"/>
      <w:marRight w:val="0"/>
      <w:marTop w:val="0"/>
      <w:marBottom w:val="0"/>
      <w:divBdr>
        <w:top w:val="none" w:sz="0" w:space="0" w:color="auto"/>
        <w:left w:val="none" w:sz="0" w:space="0" w:color="auto"/>
        <w:bottom w:val="none" w:sz="0" w:space="0" w:color="auto"/>
        <w:right w:val="none" w:sz="0" w:space="0" w:color="auto"/>
      </w:divBdr>
    </w:div>
    <w:div w:id="194586690">
      <w:bodyDiv w:val="1"/>
      <w:marLeft w:val="0"/>
      <w:marRight w:val="0"/>
      <w:marTop w:val="0"/>
      <w:marBottom w:val="0"/>
      <w:divBdr>
        <w:top w:val="none" w:sz="0" w:space="0" w:color="auto"/>
        <w:left w:val="none" w:sz="0" w:space="0" w:color="auto"/>
        <w:bottom w:val="none" w:sz="0" w:space="0" w:color="auto"/>
        <w:right w:val="none" w:sz="0" w:space="0" w:color="auto"/>
      </w:divBdr>
    </w:div>
    <w:div w:id="292759169">
      <w:bodyDiv w:val="1"/>
      <w:marLeft w:val="0"/>
      <w:marRight w:val="0"/>
      <w:marTop w:val="0"/>
      <w:marBottom w:val="0"/>
      <w:divBdr>
        <w:top w:val="none" w:sz="0" w:space="0" w:color="auto"/>
        <w:left w:val="none" w:sz="0" w:space="0" w:color="auto"/>
        <w:bottom w:val="none" w:sz="0" w:space="0" w:color="auto"/>
        <w:right w:val="none" w:sz="0" w:space="0" w:color="auto"/>
      </w:divBdr>
    </w:div>
    <w:div w:id="393741839">
      <w:bodyDiv w:val="1"/>
      <w:marLeft w:val="0"/>
      <w:marRight w:val="0"/>
      <w:marTop w:val="0"/>
      <w:marBottom w:val="0"/>
      <w:divBdr>
        <w:top w:val="none" w:sz="0" w:space="0" w:color="auto"/>
        <w:left w:val="none" w:sz="0" w:space="0" w:color="auto"/>
        <w:bottom w:val="none" w:sz="0" w:space="0" w:color="auto"/>
        <w:right w:val="none" w:sz="0" w:space="0" w:color="auto"/>
      </w:divBdr>
    </w:div>
    <w:div w:id="447087729">
      <w:bodyDiv w:val="1"/>
      <w:marLeft w:val="0"/>
      <w:marRight w:val="0"/>
      <w:marTop w:val="0"/>
      <w:marBottom w:val="0"/>
      <w:divBdr>
        <w:top w:val="none" w:sz="0" w:space="0" w:color="auto"/>
        <w:left w:val="none" w:sz="0" w:space="0" w:color="auto"/>
        <w:bottom w:val="none" w:sz="0" w:space="0" w:color="auto"/>
        <w:right w:val="none" w:sz="0" w:space="0" w:color="auto"/>
      </w:divBdr>
    </w:div>
    <w:div w:id="489293588">
      <w:bodyDiv w:val="1"/>
      <w:marLeft w:val="0"/>
      <w:marRight w:val="0"/>
      <w:marTop w:val="0"/>
      <w:marBottom w:val="0"/>
      <w:divBdr>
        <w:top w:val="none" w:sz="0" w:space="0" w:color="auto"/>
        <w:left w:val="none" w:sz="0" w:space="0" w:color="auto"/>
        <w:bottom w:val="none" w:sz="0" w:space="0" w:color="auto"/>
        <w:right w:val="none" w:sz="0" w:space="0" w:color="auto"/>
      </w:divBdr>
    </w:div>
    <w:div w:id="493766362">
      <w:bodyDiv w:val="1"/>
      <w:marLeft w:val="0"/>
      <w:marRight w:val="0"/>
      <w:marTop w:val="0"/>
      <w:marBottom w:val="0"/>
      <w:divBdr>
        <w:top w:val="none" w:sz="0" w:space="0" w:color="auto"/>
        <w:left w:val="none" w:sz="0" w:space="0" w:color="auto"/>
        <w:bottom w:val="none" w:sz="0" w:space="0" w:color="auto"/>
        <w:right w:val="none" w:sz="0" w:space="0" w:color="auto"/>
      </w:divBdr>
    </w:div>
    <w:div w:id="530729252">
      <w:bodyDiv w:val="1"/>
      <w:marLeft w:val="0"/>
      <w:marRight w:val="0"/>
      <w:marTop w:val="0"/>
      <w:marBottom w:val="0"/>
      <w:divBdr>
        <w:top w:val="none" w:sz="0" w:space="0" w:color="auto"/>
        <w:left w:val="none" w:sz="0" w:space="0" w:color="auto"/>
        <w:bottom w:val="none" w:sz="0" w:space="0" w:color="auto"/>
        <w:right w:val="none" w:sz="0" w:space="0" w:color="auto"/>
      </w:divBdr>
    </w:div>
    <w:div w:id="625088908">
      <w:bodyDiv w:val="1"/>
      <w:marLeft w:val="0"/>
      <w:marRight w:val="0"/>
      <w:marTop w:val="0"/>
      <w:marBottom w:val="0"/>
      <w:divBdr>
        <w:top w:val="none" w:sz="0" w:space="0" w:color="auto"/>
        <w:left w:val="none" w:sz="0" w:space="0" w:color="auto"/>
        <w:bottom w:val="none" w:sz="0" w:space="0" w:color="auto"/>
        <w:right w:val="none" w:sz="0" w:space="0" w:color="auto"/>
      </w:divBdr>
    </w:div>
    <w:div w:id="694698618">
      <w:bodyDiv w:val="1"/>
      <w:marLeft w:val="0"/>
      <w:marRight w:val="0"/>
      <w:marTop w:val="0"/>
      <w:marBottom w:val="0"/>
      <w:divBdr>
        <w:top w:val="none" w:sz="0" w:space="0" w:color="auto"/>
        <w:left w:val="none" w:sz="0" w:space="0" w:color="auto"/>
        <w:bottom w:val="none" w:sz="0" w:space="0" w:color="auto"/>
        <w:right w:val="none" w:sz="0" w:space="0" w:color="auto"/>
      </w:divBdr>
      <w:divsChild>
        <w:div w:id="2086029692">
          <w:marLeft w:val="0"/>
          <w:marRight w:val="0"/>
          <w:marTop w:val="0"/>
          <w:marBottom w:val="0"/>
          <w:divBdr>
            <w:top w:val="none" w:sz="0" w:space="0" w:color="auto"/>
            <w:left w:val="none" w:sz="0" w:space="0" w:color="auto"/>
            <w:bottom w:val="none" w:sz="0" w:space="0" w:color="auto"/>
            <w:right w:val="none" w:sz="0" w:space="0" w:color="auto"/>
          </w:divBdr>
          <w:divsChild>
            <w:div w:id="171723117">
              <w:marLeft w:val="0"/>
              <w:marRight w:val="0"/>
              <w:marTop w:val="0"/>
              <w:marBottom w:val="0"/>
              <w:divBdr>
                <w:top w:val="none" w:sz="0" w:space="0" w:color="auto"/>
                <w:left w:val="none" w:sz="0" w:space="0" w:color="auto"/>
                <w:bottom w:val="none" w:sz="0" w:space="0" w:color="auto"/>
                <w:right w:val="none" w:sz="0" w:space="0" w:color="auto"/>
              </w:divBdr>
              <w:divsChild>
                <w:div w:id="1685934606">
                  <w:marLeft w:val="0"/>
                  <w:marRight w:val="0"/>
                  <w:marTop w:val="0"/>
                  <w:marBottom w:val="0"/>
                  <w:divBdr>
                    <w:top w:val="none" w:sz="0" w:space="0" w:color="auto"/>
                    <w:left w:val="none" w:sz="0" w:space="0" w:color="auto"/>
                    <w:bottom w:val="none" w:sz="0" w:space="0" w:color="auto"/>
                    <w:right w:val="none" w:sz="0" w:space="0" w:color="auto"/>
                  </w:divBdr>
                  <w:divsChild>
                    <w:div w:id="12604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15634">
          <w:marLeft w:val="0"/>
          <w:marRight w:val="0"/>
          <w:marTop w:val="0"/>
          <w:marBottom w:val="0"/>
          <w:divBdr>
            <w:top w:val="none" w:sz="0" w:space="0" w:color="auto"/>
            <w:left w:val="none" w:sz="0" w:space="0" w:color="auto"/>
            <w:bottom w:val="none" w:sz="0" w:space="0" w:color="auto"/>
            <w:right w:val="none" w:sz="0" w:space="0" w:color="auto"/>
          </w:divBdr>
          <w:divsChild>
            <w:div w:id="1398090592">
              <w:marLeft w:val="0"/>
              <w:marRight w:val="0"/>
              <w:marTop w:val="0"/>
              <w:marBottom w:val="0"/>
              <w:divBdr>
                <w:top w:val="none" w:sz="0" w:space="0" w:color="auto"/>
                <w:left w:val="none" w:sz="0" w:space="0" w:color="auto"/>
                <w:bottom w:val="none" w:sz="0" w:space="0" w:color="auto"/>
                <w:right w:val="none" w:sz="0" w:space="0" w:color="auto"/>
              </w:divBdr>
              <w:divsChild>
                <w:div w:id="2051373547">
                  <w:marLeft w:val="0"/>
                  <w:marRight w:val="0"/>
                  <w:marTop w:val="0"/>
                  <w:marBottom w:val="0"/>
                  <w:divBdr>
                    <w:top w:val="none" w:sz="0" w:space="0" w:color="auto"/>
                    <w:left w:val="none" w:sz="0" w:space="0" w:color="auto"/>
                    <w:bottom w:val="none" w:sz="0" w:space="0" w:color="auto"/>
                    <w:right w:val="none" w:sz="0" w:space="0" w:color="auto"/>
                  </w:divBdr>
                  <w:divsChild>
                    <w:div w:id="175047146">
                      <w:marLeft w:val="0"/>
                      <w:marRight w:val="0"/>
                      <w:marTop w:val="0"/>
                      <w:marBottom w:val="0"/>
                      <w:divBdr>
                        <w:top w:val="none" w:sz="0" w:space="0" w:color="auto"/>
                        <w:left w:val="none" w:sz="0" w:space="0" w:color="auto"/>
                        <w:bottom w:val="none" w:sz="0" w:space="0" w:color="auto"/>
                        <w:right w:val="none" w:sz="0" w:space="0" w:color="auto"/>
                      </w:divBdr>
                      <w:divsChild>
                        <w:div w:id="10457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975244">
      <w:bodyDiv w:val="1"/>
      <w:marLeft w:val="0"/>
      <w:marRight w:val="0"/>
      <w:marTop w:val="0"/>
      <w:marBottom w:val="0"/>
      <w:divBdr>
        <w:top w:val="none" w:sz="0" w:space="0" w:color="auto"/>
        <w:left w:val="none" w:sz="0" w:space="0" w:color="auto"/>
        <w:bottom w:val="none" w:sz="0" w:space="0" w:color="auto"/>
        <w:right w:val="none" w:sz="0" w:space="0" w:color="auto"/>
      </w:divBdr>
    </w:div>
    <w:div w:id="851994977">
      <w:bodyDiv w:val="1"/>
      <w:marLeft w:val="0"/>
      <w:marRight w:val="0"/>
      <w:marTop w:val="0"/>
      <w:marBottom w:val="0"/>
      <w:divBdr>
        <w:top w:val="none" w:sz="0" w:space="0" w:color="auto"/>
        <w:left w:val="none" w:sz="0" w:space="0" w:color="auto"/>
        <w:bottom w:val="none" w:sz="0" w:space="0" w:color="auto"/>
        <w:right w:val="none" w:sz="0" w:space="0" w:color="auto"/>
      </w:divBdr>
    </w:div>
    <w:div w:id="858203340">
      <w:bodyDiv w:val="1"/>
      <w:marLeft w:val="0"/>
      <w:marRight w:val="0"/>
      <w:marTop w:val="0"/>
      <w:marBottom w:val="0"/>
      <w:divBdr>
        <w:top w:val="none" w:sz="0" w:space="0" w:color="auto"/>
        <w:left w:val="none" w:sz="0" w:space="0" w:color="auto"/>
        <w:bottom w:val="none" w:sz="0" w:space="0" w:color="auto"/>
        <w:right w:val="none" w:sz="0" w:space="0" w:color="auto"/>
      </w:divBdr>
    </w:div>
    <w:div w:id="875462171">
      <w:bodyDiv w:val="1"/>
      <w:marLeft w:val="0"/>
      <w:marRight w:val="0"/>
      <w:marTop w:val="0"/>
      <w:marBottom w:val="0"/>
      <w:divBdr>
        <w:top w:val="none" w:sz="0" w:space="0" w:color="auto"/>
        <w:left w:val="none" w:sz="0" w:space="0" w:color="auto"/>
        <w:bottom w:val="none" w:sz="0" w:space="0" w:color="auto"/>
        <w:right w:val="none" w:sz="0" w:space="0" w:color="auto"/>
      </w:divBdr>
    </w:div>
    <w:div w:id="927081326">
      <w:bodyDiv w:val="1"/>
      <w:marLeft w:val="0"/>
      <w:marRight w:val="0"/>
      <w:marTop w:val="0"/>
      <w:marBottom w:val="0"/>
      <w:divBdr>
        <w:top w:val="none" w:sz="0" w:space="0" w:color="auto"/>
        <w:left w:val="none" w:sz="0" w:space="0" w:color="auto"/>
        <w:bottom w:val="none" w:sz="0" w:space="0" w:color="auto"/>
        <w:right w:val="none" w:sz="0" w:space="0" w:color="auto"/>
      </w:divBdr>
    </w:div>
    <w:div w:id="956133311">
      <w:bodyDiv w:val="1"/>
      <w:marLeft w:val="0"/>
      <w:marRight w:val="0"/>
      <w:marTop w:val="0"/>
      <w:marBottom w:val="0"/>
      <w:divBdr>
        <w:top w:val="none" w:sz="0" w:space="0" w:color="auto"/>
        <w:left w:val="none" w:sz="0" w:space="0" w:color="auto"/>
        <w:bottom w:val="none" w:sz="0" w:space="0" w:color="auto"/>
        <w:right w:val="none" w:sz="0" w:space="0" w:color="auto"/>
      </w:divBdr>
    </w:div>
    <w:div w:id="993022335">
      <w:bodyDiv w:val="1"/>
      <w:marLeft w:val="0"/>
      <w:marRight w:val="0"/>
      <w:marTop w:val="0"/>
      <w:marBottom w:val="0"/>
      <w:divBdr>
        <w:top w:val="none" w:sz="0" w:space="0" w:color="auto"/>
        <w:left w:val="none" w:sz="0" w:space="0" w:color="auto"/>
        <w:bottom w:val="none" w:sz="0" w:space="0" w:color="auto"/>
        <w:right w:val="none" w:sz="0" w:space="0" w:color="auto"/>
      </w:divBdr>
    </w:div>
    <w:div w:id="1349215099">
      <w:bodyDiv w:val="1"/>
      <w:marLeft w:val="0"/>
      <w:marRight w:val="0"/>
      <w:marTop w:val="0"/>
      <w:marBottom w:val="0"/>
      <w:divBdr>
        <w:top w:val="none" w:sz="0" w:space="0" w:color="auto"/>
        <w:left w:val="none" w:sz="0" w:space="0" w:color="auto"/>
        <w:bottom w:val="none" w:sz="0" w:space="0" w:color="auto"/>
        <w:right w:val="none" w:sz="0" w:space="0" w:color="auto"/>
      </w:divBdr>
    </w:div>
    <w:div w:id="1351907060">
      <w:bodyDiv w:val="1"/>
      <w:marLeft w:val="0"/>
      <w:marRight w:val="0"/>
      <w:marTop w:val="0"/>
      <w:marBottom w:val="0"/>
      <w:divBdr>
        <w:top w:val="none" w:sz="0" w:space="0" w:color="auto"/>
        <w:left w:val="none" w:sz="0" w:space="0" w:color="auto"/>
        <w:bottom w:val="none" w:sz="0" w:space="0" w:color="auto"/>
        <w:right w:val="none" w:sz="0" w:space="0" w:color="auto"/>
      </w:divBdr>
    </w:div>
    <w:div w:id="1452896587">
      <w:bodyDiv w:val="1"/>
      <w:marLeft w:val="0"/>
      <w:marRight w:val="0"/>
      <w:marTop w:val="0"/>
      <w:marBottom w:val="0"/>
      <w:divBdr>
        <w:top w:val="none" w:sz="0" w:space="0" w:color="auto"/>
        <w:left w:val="none" w:sz="0" w:space="0" w:color="auto"/>
        <w:bottom w:val="none" w:sz="0" w:space="0" w:color="auto"/>
        <w:right w:val="none" w:sz="0" w:space="0" w:color="auto"/>
      </w:divBdr>
    </w:div>
    <w:div w:id="1514341604">
      <w:bodyDiv w:val="1"/>
      <w:marLeft w:val="0"/>
      <w:marRight w:val="0"/>
      <w:marTop w:val="0"/>
      <w:marBottom w:val="0"/>
      <w:divBdr>
        <w:top w:val="none" w:sz="0" w:space="0" w:color="auto"/>
        <w:left w:val="none" w:sz="0" w:space="0" w:color="auto"/>
        <w:bottom w:val="none" w:sz="0" w:space="0" w:color="auto"/>
        <w:right w:val="none" w:sz="0" w:space="0" w:color="auto"/>
      </w:divBdr>
    </w:div>
    <w:div w:id="1548450219">
      <w:bodyDiv w:val="1"/>
      <w:marLeft w:val="0"/>
      <w:marRight w:val="0"/>
      <w:marTop w:val="0"/>
      <w:marBottom w:val="0"/>
      <w:divBdr>
        <w:top w:val="none" w:sz="0" w:space="0" w:color="auto"/>
        <w:left w:val="none" w:sz="0" w:space="0" w:color="auto"/>
        <w:bottom w:val="none" w:sz="0" w:space="0" w:color="auto"/>
        <w:right w:val="none" w:sz="0" w:space="0" w:color="auto"/>
      </w:divBdr>
    </w:div>
    <w:div w:id="1609433235">
      <w:bodyDiv w:val="1"/>
      <w:marLeft w:val="0"/>
      <w:marRight w:val="0"/>
      <w:marTop w:val="0"/>
      <w:marBottom w:val="0"/>
      <w:divBdr>
        <w:top w:val="none" w:sz="0" w:space="0" w:color="auto"/>
        <w:left w:val="none" w:sz="0" w:space="0" w:color="auto"/>
        <w:bottom w:val="none" w:sz="0" w:space="0" w:color="auto"/>
        <w:right w:val="none" w:sz="0" w:space="0" w:color="auto"/>
      </w:divBdr>
    </w:div>
    <w:div w:id="1701542681">
      <w:bodyDiv w:val="1"/>
      <w:marLeft w:val="0"/>
      <w:marRight w:val="0"/>
      <w:marTop w:val="0"/>
      <w:marBottom w:val="0"/>
      <w:divBdr>
        <w:top w:val="none" w:sz="0" w:space="0" w:color="auto"/>
        <w:left w:val="none" w:sz="0" w:space="0" w:color="auto"/>
        <w:bottom w:val="none" w:sz="0" w:space="0" w:color="auto"/>
        <w:right w:val="none" w:sz="0" w:space="0" w:color="auto"/>
      </w:divBdr>
    </w:div>
    <w:div w:id="1828932804">
      <w:bodyDiv w:val="1"/>
      <w:marLeft w:val="0"/>
      <w:marRight w:val="0"/>
      <w:marTop w:val="0"/>
      <w:marBottom w:val="0"/>
      <w:divBdr>
        <w:top w:val="none" w:sz="0" w:space="0" w:color="auto"/>
        <w:left w:val="none" w:sz="0" w:space="0" w:color="auto"/>
        <w:bottom w:val="none" w:sz="0" w:space="0" w:color="auto"/>
        <w:right w:val="none" w:sz="0" w:space="0" w:color="auto"/>
      </w:divBdr>
    </w:div>
    <w:div w:id="2072190151">
      <w:bodyDiv w:val="1"/>
      <w:marLeft w:val="0"/>
      <w:marRight w:val="0"/>
      <w:marTop w:val="0"/>
      <w:marBottom w:val="0"/>
      <w:divBdr>
        <w:top w:val="none" w:sz="0" w:space="0" w:color="auto"/>
        <w:left w:val="none" w:sz="0" w:space="0" w:color="auto"/>
        <w:bottom w:val="none" w:sz="0" w:space="0" w:color="auto"/>
        <w:right w:val="none" w:sz="0" w:space="0" w:color="auto"/>
      </w:divBdr>
    </w:div>
    <w:div w:id="214500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tizuraidah@uptm.edu.m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zam@uptm.edu.my"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CD4E4817E2430BB0730F45DFA76373"/>
        <w:category>
          <w:name w:val="General"/>
          <w:gallery w:val="placeholder"/>
        </w:category>
        <w:types>
          <w:type w:val="bbPlcHdr"/>
        </w:types>
        <w:behaviors>
          <w:behavior w:val="content"/>
        </w:behaviors>
        <w:guid w:val="{7C08C726-39B5-4DAC-BF42-01B95E018868}"/>
      </w:docPartPr>
      <w:docPartBody>
        <w:p w:rsidR="00321A66" w:rsidRDefault="00724ADA" w:rsidP="00724ADA">
          <w:pPr>
            <w:pStyle w:val="50CD4E4817E2430BB0730F45DFA76373"/>
          </w:pPr>
          <w:r w:rsidRPr="00783C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DA"/>
    <w:rsid w:val="001D6DED"/>
    <w:rsid w:val="00321A66"/>
    <w:rsid w:val="0033289D"/>
    <w:rsid w:val="0045316C"/>
    <w:rsid w:val="004D3B9B"/>
    <w:rsid w:val="006622FB"/>
    <w:rsid w:val="00724ADA"/>
    <w:rsid w:val="007C60FA"/>
    <w:rsid w:val="007D0213"/>
    <w:rsid w:val="00806596"/>
    <w:rsid w:val="00864B05"/>
    <w:rsid w:val="0098559A"/>
    <w:rsid w:val="00B512EF"/>
    <w:rsid w:val="00DA30B3"/>
    <w:rsid w:val="00DE1C9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4ADA"/>
    <w:rPr>
      <w:color w:val="808080"/>
    </w:rPr>
  </w:style>
  <w:style w:type="paragraph" w:customStyle="1" w:styleId="50CD4E4817E2430BB0730F45DFA76373">
    <w:name w:val="50CD4E4817E2430BB0730F45DFA76373"/>
    <w:rsid w:val="00724A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daf1818f-73ed-446b-a3ad-eca59805c3c9" xsi:nil="true"/>
    <LMS_Mappings xmlns="daf1818f-73ed-446b-a3ad-eca59805c3c9" xsi:nil="true"/>
    <DefaultSectionNames xmlns="daf1818f-73ed-446b-a3ad-eca59805c3c9" xsi:nil="true"/>
    <Is_Collaboration_Space_Locked xmlns="daf1818f-73ed-446b-a3ad-eca59805c3c9" xsi:nil="true"/>
    <Math_Settings xmlns="daf1818f-73ed-446b-a3ad-eca59805c3c9" xsi:nil="true"/>
    <AppVersion xmlns="daf1818f-73ed-446b-a3ad-eca59805c3c9" xsi:nil="true"/>
    <Invited_Students xmlns="daf1818f-73ed-446b-a3ad-eca59805c3c9" xsi:nil="true"/>
    <Templates xmlns="daf1818f-73ed-446b-a3ad-eca59805c3c9" xsi:nil="true"/>
    <FolderType xmlns="daf1818f-73ed-446b-a3ad-eca59805c3c9" xsi:nil="true"/>
    <Teachers xmlns="daf1818f-73ed-446b-a3ad-eca59805c3c9">
      <UserInfo>
        <DisplayName/>
        <AccountId xsi:nil="true"/>
        <AccountType/>
      </UserInfo>
    </Teachers>
    <Students xmlns="daf1818f-73ed-446b-a3ad-eca59805c3c9">
      <UserInfo>
        <DisplayName/>
        <AccountId xsi:nil="true"/>
        <AccountType/>
      </UserInfo>
    </Students>
    <Student_Groups xmlns="daf1818f-73ed-446b-a3ad-eca59805c3c9">
      <UserInfo>
        <DisplayName/>
        <AccountId xsi:nil="true"/>
        <AccountType/>
      </UserInfo>
    </Student_Groups>
    <Distribution_Groups xmlns="daf1818f-73ed-446b-a3ad-eca59805c3c9" xsi:nil="true"/>
    <TeamsChannelId xmlns="daf1818f-73ed-446b-a3ad-eca59805c3c9" xsi:nil="true"/>
    <Teams_Channel_Section_Location xmlns="daf1818f-73ed-446b-a3ad-eca59805c3c9" xsi:nil="true"/>
    <Owner xmlns="daf1818f-73ed-446b-a3ad-eca59805c3c9">
      <UserInfo>
        <DisplayName/>
        <AccountId xsi:nil="true"/>
        <AccountType/>
      </UserInfo>
    </Owner>
    <CultureName xmlns="daf1818f-73ed-446b-a3ad-eca59805c3c9" xsi:nil="true"/>
    <IsNotebookLocked xmlns="daf1818f-73ed-446b-a3ad-eca59805c3c9" xsi:nil="true"/>
    <Has_Teacher_Only_SectionGroup xmlns="daf1818f-73ed-446b-a3ad-eca59805c3c9" xsi:nil="true"/>
    <NotebookType xmlns="daf1818f-73ed-446b-a3ad-eca59805c3c9" xsi:nil="true"/>
    <Invited_Teachers xmlns="daf1818f-73ed-446b-a3ad-eca59805c3c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C3F85A0DF8BD44C9026669A7164D2E7" ma:contentTypeVersion="35" ma:contentTypeDescription="Create a new document." ma:contentTypeScope="" ma:versionID="5de56de43c0f034e34537315cd20904b">
  <xsd:schema xmlns:xsd="http://www.w3.org/2001/XMLSchema" xmlns:xs="http://www.w3.org/2001/XMLSchema" xmlns:p="http://schemas.microsoft.com/office/2006/metadata/properties" xmlns:ns3="fc9a81ac-5a1a-44b7-a69e-2d44256b415d" xmlns:ns4="daf1818f-73ed-446b-a3ad-eca59805c3c9" targetNamespace="http://schemas.microsoft.com/office/2006/metadata/properties" ma:root="true" ma:fieldsID="0fff2d86eabf4e4f79e5413e6b9bd8b7" ns3:_="" ns4:_="">
    <xsd:import namespace="fc9a81ac-5a1a-44b7-a69e-2d44256b415d"/>
    <xsd:import namespace="daf1818f-73ed-446b-a3ad-eca59805c3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TeamsChannelId" minOccurs="0"/>
                <xsd:element ref="ns4:Math_Settings" minOccurs="0"/>
                <xsd:element ref="ns4:Distribution_Groups" minOccurs="0"/>
                <xsd:element ref="ns4:LMS_Mappings" minOccurs="0"/>
                <xsd:element ref="ns4:IsNotebookLocked" minOccurs="0"/>
                <xsd:element ref="ns4:Teams_Channel_Section_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a81ac-5a1a-44b7-a69e-2d44256b41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f1818f-73ed-446b-a3ad-eca59805c3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6" nillable="true" ma:displayName="Default Section Names" ma:internalName="DefaultSectionNames">
      <xsd:simpleType>
        <xsd:restriction base="dms:Note">
          <xsd:maxLength value="255"/>
        </xsd:restriction>
      </xsd:simpleType>
    </xsd:element>
    <xsd:element name="Templates" ma:index="17" nillable="true" ma:displayName="Templates" ma:internalName="Templates">
      <xsd:simpleType>
        <xsd:restriction base="dms:Note">
          <xsd:maxLength value="255"/>
        </xsd:restriction>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chers" ma:index="2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3" nillable="true" ma:displayName="Invited Teachers" ma:internalName="Invited_Teachers">
      <xsd:simpleType>
        <xsd:restriction base="dms:Note">
          <xsd:maxLength value="255"/>
        </xsd:restriction>
      </xsd:simpleType>
    </xsd:element>
    <xsd:element name="Invited_Students" ma:index="24" nillable="true" ma:displayName="Invited Students" ma:internalName="Invited_Students">
      <xsd:simpleType>
        <xsd:restriction base="dms:Note">
          <xsd:maxLength value="255"/>
        </xsd:restriction>
      </xsd:simpleType>
    </xsd:element>
    <xsd:element name="Self_Registration_Enabled" ma:index="25" nillable="true" ma:displayName="Self Registration Enabled" ma:internalName="Self_Registration_Enabled">
      <xsd:simpleType>
        <xsd:restriction base="dms:Boolean"/>
      </xsd:simpleType>
    </xsd:element>
    <xsd:element name="Has_Teacher_Only_SectionGroup" ma:index="26" nillable="true" ma:displayName="Has Teacher Only SectionGroup" ma:internalName="Has_Teacher_Only_SectionGroup">
      <xsd:simpleType>
        <xsd:restriction base="dms:Boolean"/>
      </xsd:simpleType>
    </xsd:element>
    <xsd:element name="Is_Collaboration_Space_Locked" ma:index="27" nillable="true" ma:displayName="Is Collaboration Space Locked" ma:internalName="Is_Collaboration_Space_Locked">
      <xsd:simpleType>
        <xsd:restriction base="dms:Boolean"/>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TeamsChannelId" ma:index="36" nillable="true" ma:displayName="Teams Channel Id" ma:internalName="TeamsChannelId">
      <xsd:simpleType>
        <xsd:restriction base="dms:Text"/>
      </xsd:simpleType>
    </xsd:element>
    <xsd:element name="Math_Settings" ma:index="37" nillable="true" ma:displayName="Math Settings" ma:internalName="Math_Settings">
      <xsd:simpleType>
        <xsd:restriction base="dms:Text"/>
      </xsd:simple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288022-E73D-484D-87CA-5B0E0529A42D}">
  <ds:schemaRefs>
    <ds:schemaRef ds:uri="http://schemas.microsoft.com/office/2006/metadata/properties"/>
    <ds:schemaRef ds:uri="http://schemas.microsoft.com/office/infopath/2007/PartnerControls"/>
    <ds:schemaRef ds:uri="daf1818f-73ed-446b-a3ad-eca59805c3c9"/>
  </ds:schemaRefs>
</ds:datastoreItem>
</file>

<file path=customXml/itemProps2.xml><?xml version="1.0" encoding="utf-8"?>
<ds:datastoreItem xmlns:ds="http://schemas.openxmlformats.org/officeDocument/2006/customXml" ds:itemID="{B785D425-9974-4A96-9702-D7DB791BF20E}">
  <ds:schemaRefs>
    <ds:schemaRef ds:uri="http://schemas.openxmlformats.org/officeDocument/2006/bibliography"/>
  </ds:schemaRefs>
</ds:datastoreItem>
</file>

<file path=customXml/itemProps3.xml><?xml version="1.0" encoding="utf-8"?>
<ds:datastoreItem xmlns:ds="http://schemas.openxmlformats.org/officeDocument/2006/customXml" ds:itemID="{0426A8AB-697A-4D93-AFDB-DDF597DDF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a81ac-5a1a-44b7-a69e-2d44256b415d"/>
    <ds:schemaRef ds:uri="daf1818f-73ed-446b-a3ad-eca59805c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85D188-C770-4B17-8C7B-0909CCECE7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6807</Words>
  <Characters>38801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adlina</dc:creator>
  <cp:lastModifiedBy>Siti Zuraidah Zainal</cp:lastModifiedBy>
  <cp:revision>5</cp:revision>
  <cp:lastPrinted>2025-12-01T06:25:00Z</cp:lastPrinted>
  <dcterms:created xsi:type="dcterms:W3CDTF">2025-12-09T05:13:00Z</dcterms:created>
  <dcterms:modified xsi:type="dcterms:W3CDTF">2025-12-09T05:21:00Z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0x0101007C3F85A0DF8BD44C9026669A7164D2E7</vt:lpwstr>
  </property>
</Properties>
</file>